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6696"/>
        <w:gridCol w:w="3600"/>
      </w:tblGrid>
      <w:tr>
        <w:tc>
          <w:tcPr>
            <w:tcW w:type="dxa" w:w="5184"/>
            <w:tcMar>
              <w:top w:w="420" w:type="dxa"/>
              <w:start w:w="180" w:type="dxa"/>
              <w:bottom w:w="280" w:type="dxa"/>
              <w:end w:w="80" w:type="dxa"/>
            </w:tcMar>
          </w:tcPr>
          <w:p>
            <w:r>
              <w:rPr>
                <w:b/>
                <w:color w:val="1F4E79"/>
                <w:sz w:val="18"/>
              </w:rPr>
              <w:t>EXECUTIVE PORTFOLIO</w:t>
            </w:r>
          </w:p>
          <w:p>
            <w:pPr>
              <w:spacing w:before="1400"/>
            </w:pPr>
            <w:r>
              <w:rPr>
                <w:rFonts w:ascii="Aptos Display" w:hAnsi="Aptos Display"/>
                <w:b/>
                <w:color w:val="17365D"/>
                <w:sz w:val="72"/>
              </w:rPr>
              <w:t>BRUCE</w:t>
              <w:br/>
              <w:t>FRANSE</w:t>
            </w:r>
          </w:p>
          <w:p>
            <w:r>
              <w:rPr>
                <w:b/>
                <w:sz w:val="28"/>
              </w:rPr>
              <w:t>EXECUTIVE LEADERSHIP</w:t>
            </w:r>
          </w:p>
          <w:p>
            <w:pPr>
              <w:spacing w:before="440"/>
            </w:pPr>
            <w:r>
              <w:rPr>
                <w:i/>
                <w:sz w:val="32"/>
              </w:rPr>
              <w:t>The best organizations don't outperform because they have better people.</w:t>
              <w:br/>
              <w:t>They outperform because they help good people make better decisions.</w:t>
            </w:r>
          </w:p>
          <w:p>
            <w:pPr>
              <w:spacing w:before="1400"/>
            </w:pPr>
            <w:r>
              <w:rPr>
                <w:b/>
                <w:sz w:val="18"/>
              </w:rPr>
              <w:t>Building Organizational Capability</w:t>
            </w:r>
          </w:p>
          <w:p>
            <w:r>
              <w:rPr>
                <w:color w:val="666666"/>
                <w:sz w:val="17"/>
              </w:rPr>
              <w:t>Sacramento, California</w:t>
            </w:r>
          </w:p>
        </w:tc>
        <w:tc>
          <w:tcPr>
            <w:tcW w:type="dxa" w:w="5184"/>
            <w:tcMar>
              <w:top w:w="0" w:type="dxa"/>
              <w:start w:w="0" w:type="dxa"/>
              <w:bottom w:w="0" w:type="dxa"/>
              <w:end w:w="0" w:type="dxa"/>
            </w:tcMar>
            <w:vAlign w:val="top"/>
          </w:tcPr>
          <w:p>
            <w:pPr>
              <w:jc w:val="right"/>
            </w:pPr>
            <w:r>
              <w:drawing>
                <wp:inline xmlns:a="http://schemas.openxmlformats.org/drawingml/2006/main" xmlns:pic="http://schemas.openxmlformats.org/drawingml/2006/picture">
                  <wp:extent cx="2286000" cy="2858070"/>
                  <wp:docPr id="1" name="Picture 1"/>
                  <wp:cNvGraphicFramePr>
                    <a:graphicFrameLocks noChangeAspect="1"/>
                  </wp:cNvGraphicFramePr>
                  <a:graphic>
                    <a:graphicData uri="http://schemas.openxmlformats.org/drawingml/2006/picture">
                      <pic:pic>
                        <pic:nvPicPr>
                          <pic:cNvPr id="0" name="bruce_headshot_crop.png"/>
                          <pic:cNvPicPr/>
                        </pic:nvPicPr>
                        <pic:blipFill>
                          <a:blip r:embed="rId10"/>
                          <a:stretch>
                            <a:fillRect/>
                          </a:stretch>
                        </pic:blipFill>
                        <pic:spPr>
                          <a:xfrm>
                            <a:off x="0" y="0"/>
                            <a:ext cx="2286000" cy="2858070"/>
                          </a:xfrm>
                          <a:prstGeom prst="rect"/>
                        </pic:spPr>
                      </pic:pic>
                    </a:graphicData>
                  </a:graphic>
                </wp:inline>
              </w:drawing>
            </w:r>
          </w:p>
        </w:tc>
      </w:tr>
    </w:tbl>
    <w:p>
      <w:r>
        <w:br w:type="page"/>
      </w:r>
    </w:p>
    <w:p>
      <w:pPr>
        <w:spacing w:after="60"/>
      </w:pPr>
      <w:r>
        <w:rPr>
          <w:b/>
          <w:color w:val="666666"/>
          <w:sz w:val="16"/>
        </w:rPr>
        <w:t>01</w:t>
      </w:r>
    </w:p>
    <w:p>
      <w:pPr>
        <w:pStyle w:val="Heading1"/>
        <w:pBdr>
          <w:bottom w:val="single" w:sz="8" w:space="1" w:color="B8C9D9"/>
        </w:pBdr>
      </w:pPr>
      <w:r>
        <w:t>Perspective</w:t>
      </w:r>
    </w:p>
    <w:tbl>
      <w:tblPr>
        <w:tblW w:type="auto" w:w="0"/>
        <w:jc w:val="center"/>
        <w:tblLook w:firstColumn="1" w:firstRow="1" w:lastColumn="0" w:lastRow="0" w:noHBand="0" w:noVBand="1" w:val="04A0"/>
      </w:tblPr>
      <w:tblGrid>
        <w:gridCol w:w="10368"/>
      </w:tblGrid>
      <w:tr>
        <w:tc>
          <w:tcPr>
            <w:tcW w:type="dxa" w:w="10368"/>
            <w:shd w:fill="EAF0F5"/>
            <w:tcMar>
              <w:top w:w="180" w:type="dxa"/>
              <w:start w:w="220" w:type="dxa"/>
              <w:bottom w:w="180" w:type="dxa"/>
              <w:end w:w="220" w:type="dxa"/>
            </w:tcMar>
          </w:tcPr>
          <w:p>
            <w:pPr>
              <w:jc w:val="center"/>
            </w:pPr>
            <w:r>
              <w:rPr>
                <w:i/>
                <w:color w:val="17365D"/>
                <w:sz w:val="32"/>
              </w:rPr>
              <w:t>“Revenue is the outcome. The work is building the organization that produces it.”</w:t>
            </w:r>
          </w:p>
        </w:tc>
      </w:tr>
    </w:tbl>
    <w:p>
      <w:pPr>
        <w:spacing w:after="180" w:before="300"/>
      </w:pPr>
      <w:r>
        <w:t>I've seen the same pattern repeat across manufacturing, industrial distribution, telecommunications, fitness, technology, and multi-site operations. The industries changed. The work didn't.</w:t>
      </w:r>
    </w:p>
    <w:p>
      <w:pPr>
        <w:spacing w:after="100" w:before="0"/>
      </w:pPr>
      <w:r>
        <w:rPr>
          <w:b w:val="0"/>
          <w:i w:val="0"/>
        </w:rPr>
        <w:t>I have watched that pattern repeat across manufacturing, industrial distribution, telecommunications, fitness, technology, and multi-site operations. The industries changed. The work did not.</w:t>
      </w:r>
    </w:p>
    <w:p>
      <w:pPr>
        <w:spacing w:after="100" w:before="0"/>
      </w:pPr>
      <w:r>
        <w:t>Commercial leadership became the way I learned the business. Every role exposed a different part of it: leadership, forecasting, operations, customers, and execution. Eventually they stopped feeling like separate conversations.</w:t>
      </w:r>
    </w:p>
    <w:p>
      <w:pPr>
        <w:spacing w:after="100" w:before="0"/>
      </w:pPr>
      <w:r>
        <w:rPr>
          <w:b w:val="0"/>
          <w:i w:val="0"/>
        </w:rPr>
        <w:t>My career has included building a territory from the ground up, scaling a sales organization from three people to approximately forty, leading an $18 million multi-location business, managing a $40 million commercial portfolio, and rebuilding regional performance across the Western United States and Canada.</w:t>
      </w:r>
    </w:p>
    <w:p>
      <w:pPr>
        <w:spacing w:after="100" w:before="0"/>
      </w:pPr>
      <w:r>
        <w:rPr>
          <w:b w:val="0"/>
          <w:i w:val="0"/>
        </w:rPr>
        <w:t>The common thread was never a product or industry. It was strengthening the organization behind the result.</w:t>
      </w:r>
    </w:p>
    <w:tbl>
      <w:tblPr>
        <w:tblW w:type="auto" w:w="0"/>
        <w:jc w:val="center"/>
        <w:tblLayout w:type="fixed"/>
        <w:tblLook w:firstColumn="1" w:firstRow="1" w:lastColumn="0" w:lastRow="0" w:noHBand="0" w:noVBand="1" w:val="04A0"/>
      </w:tblPr>
      <w:tblGrid>
        <w:gridCol w:w="1872"/>
        <w:gridCol w:w="1872"/>
        <w:gridCol w:w="1872"/>
        <w:gridCol w:w="1872"/>
        <w:gridCol w:w="1872"/>
      </w:tblGrid>
      <w:tr>
        <w:tc>
          <w:tcPr>
            <w:tcW w:type="dxa" w:w="2074"/>
            <w:vAlign w:val="center"/>
            <w:tcMar>
              <w:top w:w="150" w:type="dxa"/>
              <w:start w:w="100" w:type="dxa"/>
              <w:bottom w:w="130" w:type="dxa"/>
              <w:end w:w="100" w:type="dxa"/>
            </w:tcMar>
          </w:tcPr>
          <w:p>
            <w:pPr>
              <w:jc w:val="center"/>
            </w:pPr>
            <w:r>
              <w:rPr>
                <w:b/>
                <w:color w:val="1F4E79"/>
                <w:sz w:val="38"/>
              </w:rPr>
              <w:t>20+</w:t>
              <w:br/>
            </w:r>
            <w:r>
              <w:rPr>
                <w:b/>
                <w:color w:val="666666"/>
                <w:sz w:val="15"/>
              </w:rPr>
              <w:t>YEARS</w:t>
            </w:r>
          </w:p>
        </w:tc>
        <w:tc>
          <w:tcPr>
            <w:tcW w:type="dxa" w:w="2074"/>
            <w:vAlign w:val="center"/>
            <w:tcMar>
              <w:top w:w="150" w:type="dxa"/>
              <w:start w:w="100" w:type="dxa"/>
              <w:bottom w:w="130" w:type="dxa"/>
              <w:end w:w="100" w:type="dxa"/>
            </w:tcMar>
          </w:tcPr>
          <w:p>
            <w:pPr>
              <w:jc w:val="center"/>
            </w:pPr>
            <w:r>
              <w:rPr>
                <w:b/>
                <w:color w:val="1F4E79"/>
                <w:sz w:val="38"/>
              </w:rPr>
              <w:t>$18M</w:t>
              <w:br/>
            </w:r>
            <w:r>
              <w:rPr>
                <w:b/>
                <w:color w:val="666666"/>
                <w:sz w:val="15"/>
              </w:rPr>
              <w:t>BUSINESS UNIT</w:t>
            </w:r>
          </w:p>
        </w:tc>
        <w:tc>
          <w:tcPr>
            <w:tcW w:type="dxa" w:w="2074"/>
            <w:vAlign w:val="center"/>
            <w:tcMar>
              <w:top w:w="150" w:type="dxa"/>
              <w:start w:w="100" w:type="dxa"/>
              <w:bottom w:w="130" w:type="dxa"/>
              <w:end w:w="100" w:type="dxa"/>
            </w:tcMar>
          </w:tcPr>
          <w:p>
            <w:pPr>
              <w:jc w:val="center"/>
            </w:pPr>
            <w:r>
              <w:rPr>
                <w:b/>
                <w:color w:val="1F4E79"/>
                <w:sz w:val="38"/>
              </w:rPr>
              <w:t>$40M</w:t>
              <w:br/>
            </w:r>
            <w:r>
              <w:rPr>
                <w:b/>
                <w:color w:val="666666"/>
                <w:sz w:val="15"/>
              </w:rPr>
              <w:t>PORTFOLIO</w:t>
            </w:r>
          </w:p>
        </w:tc>
        <w:tc>
          <w:tcPr>
            <w:tcW w:type="dxa" w:w="2074"/>
            <w:vAlign w:val="center"/>
            <w:tcMar>
              <w:top w:w="150" w:type="dxa"/>
              <w:start w:w="100" w:type="dxa"/>
              <w:bottom w:w="130" w:type="dxa"/>
              <w:end w:w="100" w:type="dxa"/>
            </w:tcMar>
          </w:tcPr>
          <w:p>
            <w:pPr>
              <w:jc w:val="center"/>
            </w:pPr>
            <w:r>
              <w:rPr>
                <w:b/>
                <w:color w:val="1F4E79"/>
                <w:sz w:val="38"/>
              </w:rPr>
              <w:t>90+</w:t>
              <w:br/>
            </w:r>
            <w:r>
              <w:rPr>
                <w:b/>
                <w:color w:val="666666"/>
                <w:sz w:val="15"/>
              </w:rPr>
              <w:t>PEOPLE LED</w:t>
            </w:r>
          </w:p>
        </w:tc>
        <w:tc>
          <w:tcPr>
            <w:tcW w:type="dxa" w:w="2074"/>
            <w:vAlign w:val="center"/>
            <w:tcMar>
              <w:top w:w="150" w:type="dxa"/>
              <w:start w:w="100" w:type="dxa"/>
              <w:bottom w:w="130" w:type="dxa"/>
              <w:end w:w="100" w:type="dxa"/>
            </w:tcMar>
          </w:tcPr>
          <w:p>
            <w:pPr>
              <w:jc w:val="center"/>
            </w:pPr>
            <w:r>
              <w:rPr>
                <w:b/>
                <w:color w:val="1F4E79"/>
                <w:sz w:val="38"/>
              </w:rPr>
              <w:t>2</w:t>
              <w:br/>
            </w:r>
            <w:r>
              <w:rPr>
                <w:b/>
                <w:color w:val="666666"/>
                <w:sz w:val="15"/>
              </w:rPr>
              <w:t>COUNTRIES</w:t>
            </w:r>
          </w:p>
        </w:tc>
      </w:tr>
    </w:tbl>
    <w:p>
      <w:r>
        <w:br w:type="page"/>
      </w:r>
    </w:p>
    <w:p>
      <w:pPr>
        <w:spacing w:after="60"/>
      </w:pPr>
      <w:r>
        <w:rPr>
          <w:b/>
          <w:color w:val="666666"/>
          <w:sz w:val="16"/>
        </w:rPr>
        <w:t>02</w:t>
      </w:r>
    </w:p>
    <w:p>
      <w:pPr>
        <w:pStyle w:val="Heading1"/>
        <w:pBdr>
          <w:bottom w:val="single" w:sz="8" w:space="1" w:color="B8C9D9"/>
        </w:pBdr>
      </w:pPr>
      <w:r>
        <w:t>Building Capability</w:t>
      </w:r>
    </w:p>
    <w:p>
      <w:pPr>
        <w:spacing w:after="200" w:before="0"/>
      </w:pPr>
      <w:r>
        <w:rPr>
          <w:b/>
          <w:i w:val="0"/>
          <w:color w:val="17365D"/>
          <w:sz w:val="25"/>
        </w:rPr>
        <w:t>Every role expanded the scope of my responsibility and the way I understood organizations.</w:t>
      </w:r>
    </w:p>
    <w:tbl>
      <w:tblPr>
        <w:tblW w:type="auto" w:w="0"/>
        <w:jc w:val="center"/>
        <w:tblLayout w:type="fixed"/>
        <w:tblLook w:firstColumn="1" w:firstRow="1" w:lastColumn="0" w:lastRow="0" w:noHBand="0" w:noVBand="1" w:val="04A0"/>
      </w:tblPr>
      <w:tblGrid>
        <w:gridCol w:w="2376"/>
        <w:gridCol w:w="7704"/>
      </w:tblGrid>
      <w:tr>
        <w:tc>
          <w:tcPr>
            <w:tcW w:type="dxa" w:w="5184"/>
            <w:shd w:fill="EAF0F5"/>
            <w:tcMar>
              <w:top w:w="55" w:type="dxa"/>
              <w:start w:w="100" w:type="dxa"/>
              <w:bottom w:w="55" w:type="dxa"/>
              <w:end w:w="100" w:type="dxa"/>
            </w:tcMar>
          </w:tcPr>
          <w:p>
            <w:r>
              <w:rPr>
                <w:b/>
                <w:color w:val="1F4E79"/>
                <w:sz w:val="16"/>
              </w:rPr>
              <w:t>BUSINESS FOUNDATION</w:t>
            </w:r>
          </w:p>
        </w:tc>
        <w:tc>
          <w:tcPr>
            <w:tcW w:type="dxa" w:w="5184"/>
            <w:tcMar>
              <w:top w:w="45" w:type="dxa"/>
              <w:start w:w="130" w:type="dxa"/>
              <w:bottom w:w="45" w:type="dxa"/>
              <w:end w:w="80" w:type="dxa"/>
            </w:tcMar>
          </w:tcPr>
          <w:p>
            <w:r>
              <w:rPr>
                <w:b/>
                <w:color w:val="17365D"/>
                <w:sz w:val="21"/>
              </w:rPr>
              <w:t>MasterTile</w:t>
            </w:r>
          </w:p>
          <w:p>
            <w:pPr>
              <w:spacing w:after="20"/>
            </w:pPr>
            <w:r>
              <w:t>Progressed through warehouse operations, management, purchasing, customer service, Territory Manager, and Senior Territory Manager. That foundation taught me how commercial decisions affect every part of a business.</w:t>
            </w:r>
          </w:p>
          <w:p>
            <w:pPr>
              <w:spacing w:after="0"/>
            </w:pPr>
            <w:r>
              <w:rPr>
                <w:i/>
                <w:color w:val="666666"/>
              </w:rPr>
              <w:t>Rebuilt the Bay Area from approximately $30K annually to more than $1.2M in the first full year.</w:t>
            </w:r>
          </w:p>
        </w:tc>
      </w:tr>
    </w:tbl>
    <w:tbl>
      <w:tblPr>
        <w:tblW w:type="auto" w:w="0"/>
        <w:jc w:val="center"/>
        <w:tblLayout w:type="fixed"/>
        <w:tblLook w:firstColumn="1" w:firstRow="1" w:lastColumn="0" w:lastRow="0" w:noHBand="0" w:noVBand="1" w:val="04A0"/>
      </w:tblPr>
      <w:tblGrid>
        <w:gridCol w:w="2376"/>
        <w:gridCol w:w="7704"/>
      </w:tblGrid>
      <w:tr>
        <w:tc>
          <w:tcPr>
            <w:tcW w:type="dxa" w:w="5184"/>
            <w:shd w:fill="EAF0F5"/>
            <w:tcMar>
              <w:top w:w="55" w:type="dxa"/>
              <w:start w:w="100" w:type="dxa"/>
              <w:bottom w:w="55" w:type="dxa"/>
              <w:end w:w="100" w:type="dxa"/>
            </w:tcMar>
          </w:tcPr>
          <w:p>
            <w:r>
              <w:rPr>
                <w:b/>
                <w:color w:val="1F4E79"/>
                <w:sz w:val="16"/>
              </w:rPr>
              <w:t>ORGANIZATIONAL SCALE</w:t>
            </w:r>
          </w:p>
        </w:tc>
        <w:tc>
          <w:tcPr>
            <w:tcW w:type="dxa" w:w="5184"/>
            <w:tcMar>
              <w:top w:w="45" w:type="dxa"/>
              <w:start w:w="130" w:type="dxa"/>
              <w:bottom w:w="45" w:type="dxa"/>
              <w:end w:w="80" w:type="dxa"/>
            </w:tcMar>
          </w:tcPr>
          <w:p>
            <w:r>
              <w:rPr>
                <w:b/>
                <w:color w:val="17365D"/>
                <w:sz w:val="21"/>
              </w:rPr>
              <w:t>SureWest Communications</w:t>
            </w:r>
          </w:p>
          <w:p>
            <w:pPr>
              <w:spacing w:after="20"/>
            </w:pPr>
            <w:r>
              <w:t>Built separate Residential and Commercial organizations as the team grew from three representatives to approximately forty, led through four Sales Managers.</w:t>
            </w:r>
          </w:p>
          <w:p>
            <w:pPr>
              <w:spacing w:after="0"/>
            </w:pPr>
            <w:r>
              <w:rPr>
                <w:i/>
                <w:color w:val="666666"/>
              </w:rPr>
              <w:t>Growth exposed the need for leadership capacity, structure, forecasting, and clear accountability.</w:t>
            </w:r>
          </w:p>
        </w:tc>
      </w:tr>
    </w:tbl>
    <w:tbl>
      <w:tblPr>
        <w:tblW w:type="auto" w:w="0"/>
        <w:jc w:val="center"/>
        <w:tblLayout w:type="fixed"/>
        <w:tblLook w:firstColumn="1" w:firstRow="1" w:lastColumn="0" w:lastRow="0" w:noHBand="0" w:noVBand="1" w:val="04A0"/>
      </w:tblPr>
      <w:tblGrid>
        <w:gridCol w:w="2376"/>
        <w:gridCol w:w="7704"/>
      </w:tblGrid>
      <w:tr>
        <w:tc>
          <w:tcPr>
            <w:tcW w:type="dxa" w:w="5184"/>
            <w:shd w:fill="EAF0F5"/>
            <w:tcMar>
              <w:top w:w="55" w:type="dxa"/>
              <w:start w:w="100" w:type="dxa"/>
              <w:bottom w:w="55" w:type="dxa"/>
              <w:end w:w="100" w:type="dxa"/>
            </w:tcMar>
          </w:tcPr>
          <w:p>
            <w:r>
              <w:rPr>
                <w:b/>
                <w:color w:val="1F4E79"/>
                <w:sz w:val="16"/>
              </w:rPr>
              <w:t>TALENT &amp; RECRUITING</w:t>
            </w:r>
          </w:p>
        </w:tc>
        <w:tc>
          <w:tcPr>
            <w:tcW w:type="dxa" w:w="5184"/>
            <w:tcMar>
              <w:top w:w="45" w:type="dxa"/>
              <w:start w:w="130" w:type="dxa"/>
              <w:bottom w:w="45" w:type="dxa"/>
              <w:end w:w="80" w:type="dxa"/>
            </w:tcMar>
          </w:tcPr>
          <w:p>
            <w:r>
              <w:rPr>
                <w:b/>
                <w:color w:val="17365D"/>
                <w:sz w:val="21"/>
              </w:rPr>
              <w:t>California Prime</w:t>
            </w:r>
          </w:p>
          <w:p>
            <w:pPr>
              <w:spacing w:after="20"/>
            </w:pPr>
            <w:r>
              <w:t>Led fourteen Outside Sales Representatives in a demanding field-sales environment where recruiting and development were constant business requirements.</w:t>
            </w:r>
          </w:p>
          <w:p>
            <w:pPr>
              <w:spacing w:after="0"/>
            </w:pPr>
            <w:r>
              <w:rPr>
                <w:i/>
                <w:color w:val="666666"/>
              </w:rPr>
              <w:t>Learned to recognize character, coachability, and work ethic before potential became obvious on a resume.</w:t>
            </w:r>
          </w:p>
        </w:tc>
      </w:tr>
    </w:tbl>
    <w:tbl>
      <w:tblPr>
        <w:tblW w:type="auto" w:w="0"/>
        <w:jc w:val="center"/>
        <w:tblLayout w:type="fixed"/>
        <w:tblLook w:firstColumn="1" w:firstRow="1" w:lastColumn="0" w:lastRow="0" w:noHBand="0" w:noVBand="1" w:val="04A0"/>
      </w:tblPr>
      <w:tblGrid>
        <w:gridCol w:w="2376"/>
        <w:gridCol w:w="7704"/>
      </w:tblGrid>
      <w:tr>
        <w:tc>
          <w:tcPr>
            <w:tcW w:type="dxa" w:w="5184"/>
            <w:shd w:fill="EAF0F5"/>
            <w:tcMar>
              <w:top w:w="55" w:type="dxa"/>
              <w:start w:w="100" w:type="dxa"/>
              <w:bottom w:w="55" w:type="dxa"/>
              <w:end w:w="100" w:type="dxa"/>
            </w:tcMar>
          </w:tcPr>
          <w:p>
            <w:r>
              <w:rPr>
                <w:b/>
                <w:color w:val="1F4E79"/>
                <w:sz w:val="16"/>
              </w:rPr>
              <w:t>EXECUTIVE OPERATIONS</w:t>
            </w:r>
          </w:p>
        </w:tc>
        <w:tc>
          <w:tcPr>
            <w:tcW w:type="dxa" w:w="5184"/>
            <w:tcMar>
              <w:top w:w="45" w:type="dxa"/>
              <w:start w:w="130" w:type="dxa"/>
              <w:bottom w:w="45" w:type="dxa"/>
              <w:end w:w="80" w:type="dxa"/>
            </w:tcMar>
          </w:tcPr>
          <w:p>
            <w:r>
              <w:rPr>
                <w:b/>
                <w:color w:val="17365D"/>
                <w:sz w:val="21"/>
              </w:rPr>
              <w:t>California Family Fitness</w:t>
            </w:r>
          </w:p>
          <w:p>
            <w:pPr>
              <w:spacing w:after="20"/>
            </w:pPr>
            <w:r>
              <w:t>Led the company’s largest Fitness business unit: approximately $18M, eight locations, and more than ninety employees.</w:t>
            </w:r>
          </w:p>
          <w:p>
            <w:pPr>
              <w:spacing w:after="0"/>
            </w:pPr>
            <w:r>
              <w:rPr>
                <w:i/>
                <w:color w:val="666666"/>
              </w:rPr>
              <w:t>Operations, finance, customer experience, leadership, and revenue became one connected conversation.</w:t>
            </w:r>
          </w:p>
        </w:tc>
      </w:tr>
    </w:tbl>
    <w:tbl>
      <w:tblPr>
        <w:tblW w:type="auto" w:w="0"/>
        <w:jc w:val="center"/>
        <w:tblLayout w:type="fixed"/>
        <w:tblLook w:firstColumn="1" w:firstRow="1" w:lastColumn="0" w:lastRow="0" w:noHBand="0" w:noVBand="1" w:val="04A0"/>
      </w:tblPr>
      <w:tblGrid>
        <w:gridCol w:w="2376"/>
        <w:gridCol w:w="7704"/>
      </w:tblGrid>
      <w:tr>
        <w:tc>
          <w:tcPr>
            <w:tcW w:type="dxa" w:w="5184"/>
            <w:shd w:fill="EAF0F5"/>
            <w:tcMar>
              <w:top w:w="55" w:type="dxa"/>
              <w:start w:w="100" w:type="dxa"/>
              <w:bottom w:w="55" w:type="dxa"/>
              <w:end w:w="100" w:type="dxa"/>
            </w:tcMar>
          </w:tcPr>
          <w:p>
            <w:r>
              <w:rPr>
                <w:b/>
                <w:color w:val="1F4E79"/>
                <w:sz w:val="16"/>
              </w:rPr>
              <w:t>COMMERCIAL JUDGMENT</w:t>
            </w:r>
          </w:p>
        </w:tc>
        <w:tc>
          <w:tcPr>
            <w:tcW w:type="dxa" w:w="5184"/>
            <w:tcMar>
              <w:top w:w="45" w:type="dxa"/>
              <w:start w:w="130" w:type="dxa"/>
              <w:bottom w:w="45" w:type="dxa"/>
              <w:end w:w="80" w:type="dxa"/>
            </w:tcMar>
          </w:tcPr>
          <w:p>
            <w:r>
              <w:rPr>
                <w:b/>
                <w:color w:val="17365D"/>
                <w:sz w:val="21"/>
              </w:rPr>
              <w:t>Cogent Solutions &amp; Supplies</w:t>
            </w:r>
          </w:p>
          <w:p>
            <w:pPr>
              <w:spacing w:after="20"/>
            </w:pPr>
            <w:r>
              <w:t>Managed a $40M industrial territory while increasing monthly gross profit from approximately $25K to $45K.</w:t>
            </w:r>
          </w:p>
          <w:p>
            <w:pPr>
              <w:spacing w:after="0"/>
            </w:pPr>
            <w:r>
              <w:rPr>
                <w:i/>
                <w:color w:val="666666"/>
              </w:rPr>
              <w:t>Healthy growth requires judgment: customer value, profitability, resources, and long-term relationships must reinforce one another.</w:t>
            </w:r>
          </w:p>
        </w:tc>
      </w:tr>
    </w:tbl>
    <w:tbl>
      <w:tblPr>
        <w:tblW w:type="auto" w:w="0"/>
        <w:jc w:val="center"/>
        <w:tblLayout w:type="fixed"/>
        <w:tblLook w:firstColumn="1" w:firstRow="1" w:lastColumn="0" w:lastRow="0" w:noHBand="0" w:noVBand="1" w:val="04A0"/>
      </w:tblPr>
      <w:tblGrid>
        <w:gridCol w:w="2376"/>
        <w:gridCol w:w="7704"/>
      </w:tblGrid>
      <w:tr>
        <w:tc>
          <w:tcPr>
            <w:tcW w:type="dxa" w:w="5184"/>
            <w:shd w:fill="EAF0F5"/>
            <w:tcMar>
              <w:top w:w="55" w:type="dxa"/>
              <w:start w:w="100" w:type="dxa"/>
              <w:bottom w:w="55" w:type="dxa"/>
              <w:end w:w="100" w:type="dxa"/>
            </w:tcMar>
          </w:tcPr>
          <w:p>
            <w:r>
              <w:rPr>
                <w:b/>
                <w:color w:val="1F4E79"/>
                <w:sz w:val="16"/>
              </w:rPr>
              <w:t>REGIONAL LEADERSHIP</w:t>
            </w:r>
          </w:p>
        </w:tc>
        <w:tc>
          <w:tcPr>
            <w:tcW w:type="dxa" w:w="5184"/>
            <w:tcMar>
              <w:top w:w="45" w:type="dxa"/>
              <w:start w:w="130" w:type="dxa"/>
              <w:bottom w:w="45" w:type="dxa"/>
              <w:end w:w="80" w:type="dxa"/>
            </w:tcMar>
          </w:tcPr>
          <w:p>
            <w:r>
              <w:rPr>
                <w:b/>
                <w:color w:val="17365D"/>
                <w:sz w:val="21"/>
              </w:rPr>
              <w:t>Vision Engineering</w:t>
            </w:r>
          </w:p>
          <w:p>
            <w:pPr>
              <w:spacing w:after="20"/>
            </w:pPr>
            <w:r>
              <w:t>Led seven Regional Sales Executives, four Manufacturer Representatives, and a distributor network across the Western United States and Canada.</w:t>
            </w:r>
          </w:p>
          <w:p>
            <w:pPr>
              <w:spacing w:after="0"/>
            </w:pPr>
            <w:r>
              <w:rPr>
                <w:i/>
                <w:color w:val="666666"/>
              </w:rPr>
              <w:t>Alignment and consistency mattered more than authority across a geographically dispersed organization.</w:t>
            </w:r>
          </w:p>
        </w:tc>
      </w:tr>
    </w:tbl>
    <w:tbl>
      <w:tblPr>
        <w:tblW w:type="auto" w:w="0"/>
        <w:jc w:val="center"/>
        <w:tblLayout w:type="fixed"/>
        <w:tblLook w:firstColumn="1" w:firstRow="1" w:lastColumn="0" w:lastRow="0" w:noHBand="0" w:noVBand="1" w:val="04A0"/>
      </w:tblPr>
      <w:tblGrid>
        <w:gridCol w:w="2376"/>
        <w:gridCol w:w="7704"/>
      </w:tblGrid>
      <w:tr>
        <w:tc>
          <w:tcPr>
            <w:tcW w:type="dxa" w:w="5184"/>
            <w:shd w:fill="EAF0F5"/>
            <w:tcMar>
              <w:top w:w="55" w:type="dxa"/>
              <w:start w:w="100" w:type="dxa"/>
              <w:bottom w:w="55" w:type="dxa"/>
              <w:end w:w="100" w:type="dxa"/>
            </w:tcMar>
          </w:tcPr>
          <w:p>
            <w:r>
              <w:rPr>
                <w:b/>
                <w:color w:val="1F4E79"/>
                <w:sz w:val="16"/>
              </w:rPr>
              <w:t>EXECUTIVE PARTNERSHIP</w:t>
            </w:r>
          </w:p>
        </w:tc>
        <w:tc>
          <w:tcPr>
            <w:tcW w:type="dxa" w:w="5184"/>
            <w:tcMar>
              <w:top w:w="45" w:type="dxa"/>
              <w:start w:w="130" w:type="dxa"/>
              <w:bottom w:w="45" w:type="dxa"/>
              <w:end w:w="80" w:type="dxa"/>
            </w:tcMar>
          </w:tcPr>
          <w:p>
            <w:r>
              <w:rPr>
                <w:b/>
                <w:color w:val="17365D"/>
                <w:sz w:val="21"/>
              </w:rPr>
              <w:t>Mid Valley IT</w:t>
            </w:r>
          </w:p>
          <w:p>
            <w:pPr>
              <w:spacing w:after="20"/>
            </w:pPr>
            <w:r>
              <w:t>Joined to develop business while partnering with ownership on forecasting, pipeline management, territory planning, and commercial structure.</w:t>
            </w:r>
          </w:p>
          <w:p>
            <w:pPr>
              <w:spacing w:after="0"/>
            </w:pPr>
            <w:r>
              <w:rPr>
                <w:i/>
                <w:color w:val="666666"/>
              </w:rPr>
              <w:t>The closer leadership gets to ownership, the more every conversation becomes about the business rather than the function.</w:t>
            </w:r>
          </w:p>
        </w:tc>
      </w:tr>
    </w:tbl>
    <w:p>
      <w:r>
        <w:br w:type="page"/>
      </w:r>
    </w:p>
    <w:p>
      <w:pPr>
        <w:spacing w:after="60"/>
      </w:pPr>
      <w:r>
        <w:rPr>
          <w:b/>
          <w:color w:val="666666"/>
          <w:sz w:val="16"/>
        </w:rPr>
        <w:t>03</w:t>
      </w:r>
    </w:p>
    <w:p>
      <w:pPr>
        <w:pStyle w:val="Heading1"/>
        <w:pBdr>
          <w:bottom w:val="single" w:sz="8" w:space="1" w:color="B8C9D9"/>
        </w:pBdr>
      </w:pPr>
      <w:r>
        <w:t>Three Questions</w:t>
      </w:r>
    </w:p>
    <w:p>
      <w:pPr>
        <w:spacing w:after="280" w:before="0"/>
      </w:pPr>
      <w:r>
        <w:rPr>
          <w:b/>
          <w:i w:val="0"/>
          <w:color w:val="17365D"/>
          <w:sz w:val="25"/>
        </w:rPr>
        <w:t>When I am trying to understand a business, I keep coming back to three questions.</w:t>
      </w:r>
    </w:p>
    <w:tbl>
      <w:tblPr>
        <w:tblW w:type="auto" w:w="0"/>
        <w:jc w:val="center"/>
        <w:tblLayout w:type="fixed"/>
        <w:tblLook w:firstColumn="1" w:firstRow="1" w:lastColumn="0" w:lastRow="0" w:noHBand="0" w:noVBand="1" w:val="04A0"/>
      </w:tblPr>
      <w:tblGrid>
        <w:gridCol w:w="936"/>
        <w:gridCol w:w="9144"/>
      </w:tblGrid>
      <w:tr>
        <w:tc>
          <w:tcPr>
            <w:tcW w:type="dxa" w:w="5184"/>
            <w:shd w:fill="1F4E79"/>
            <w:tcMar>
              <w:top w:w="160" w:type="dxa"/>
              <w:start w:w="80" w:type="dxa"/>
              <w:bottom w:w="160" w:type="dxa"/>
              <w:end w:w="80" w:type="dxa"/>
            </w:tcMar>
          </w:tcPr>
          <w:p>
            <w:pPr>
              <w:jc w:val="center"/>
            </w:pPr>
            <w:r>
              <w:rPr>
                <w:b/>
                <w:color w:val="FFFFFF"/>
                <w:sz w:val="32"/>
              </w:rPr>
              <w:t>01</w:t>
            </w:r>
          </w:p>
        </w:tc>
        <w:tc>
          <w:tcPr>
            <w:tcW w:type="dxa" w:w="5184"/>
            <w:tcMar>
              <w:top w:w="120" w:type="dxa"/>
              <w:start w:w="180" w:type="dxa"/>
              <w:bottom w:w="120" w:type="dxa"/>
              <w:end w:w="120" w:type="dxa"/>
            </w:tcMar>
          </w:tcPr>
          <w:p>
            <w:r>
              <w:rPr>
                <w:b/>
                <w:color w:val="17365D"/>
                <w:sz w:val="23"/>
              </w:rPr>
              <w:t>Who makes decisions?</w:t>
            </w:r>
          </w:p>
          <w:p>
            <w:pPr>
              <w:spacing w:after="60"/>
            </w:pPr>
            <w:r>
              <w:t>Strong organizations develop leaders throughout the business instead of creating dependence on one or two individuals. Leadership creates leverage when managers can coach, decide, and build capable teams of their own.</w:t>
            </w:r>
          </w:p>
          <w:p>
            <w:pPr>
              <w:spacing w:after="0"/>
            </w:pPr>
            <w:r>
              <w:rPr>
                <w:b/>
                <w:color w:val="1F4E79"/>
                <w:sz w:val="16"/>
              </w:rPr>
              <w:t>SureWest • California Family Fitness • Vision Engineering</w:t>
            </w:r>
          </w:p>
        </w:tc>
      </w:tr>
    </w:tbl>
    <w:p>
      <w:pPr>
        <w:spacing w:after="40" w:before="0"/>
      </w:pPr>
      <w:r>
        <w:rPr>
          <w:b w:val="0"/>
          <w:i w:val="0"/>
        </w:rPr>
      </w:r>
    </w:p>
    <w:tbl>
      <w:tblPr>
        <w:tblW w:type="auto" w:w="0"/>
        <w:jc w:val="center"/>
        <w:tblLayout w:type="fixed"/>
        <w:tblLook w:firstColumn="1" w:firstRow="1" w:lastColumn="0" w:lastRow="0" w:noHBand="0" w:noVBand="1" w:val="04A0"/>
      </w:tblPr>
      <w:tblGrid>
        <w:gridCol w:w="936"/>
        <w:gridCol w:w="9144"/>
      </w:tblGrid>
      <w:tr>
        <w:tc>
          <w:tcPr>
            <w:tcW w:type="dxa" w:w="5184"/>
            <w:shd w:fill="1F4E79"/>
            <w:tcMar>
              <w:top w:w="160" w:type="dxa"/>
              <w:start w:w="80" w:type="dxa"/>
              <w:bottom w:w="160" w:type="dxa"/>
              <w:end w:w="80" w:type="dxa"/>
            </w:tcMar>
          </w:tcPr>
          <w:p>
            <w:pPr>
              <w:jc w:val="center"/>
            </w:pPr>
            <w:r>
              <w:rPr>
                <w:b/>
                <w:color w:val="FFFFFF"/>
                <w:sz w:val="32"/>
              </w:rPr>
              <w:t>02</w:t>
            </w:r>
          </w:p>
        </w:tc>
        <w:tc>
          <w:tcPr>
            <w:tcW w:type="dxa" w:w="5184"/>
            <w:tcMar>
              <w:top w:w="120" w:type="dxa"/>
              <w:start w:w="180" w:type="dxa"/>
              <w:bottom w:w="120" w:type="dxa"/>
              <w:end w:w="120" w:type="dxa"/>
            </w:tcMar>
          </w:tcPr>
          <w:p>
            <w:r>
              <w:rPr>
                <w:b/>
                <w:color w:val="17365D"/>
                <w:sz w:val="23"/>
              </w:rPr>
              <w:t>How are decisions made?</w:t>
            </w:r>
          </w:p>
          <w:p>
            <w:pPr>
              <w:spacing w:after="60"/>
            </w:pPr>
            <w:r>
              <w:t>Forecasting, commercial discipline, and financial clarity should improve tomorrow’s decisions, not simply explain yesterday’s results. Better information matters only when it changes judgment and action.</w:t>
            </w:r>
          </w:p>
          <w:p>
            <w:pPr>
              <w:spacing w:after="0"/>
            </w:pPr>
            <w:r>
              <w:rPr>
                <w:b/>
                <w:color w:val="1F4E79"/>
                <w:sz w:val="16"/>
              </w:rPr>
              <w:t>California Family Fitness • Cogent • Vision Engineering</w:t>
            </w:r>
          </w:p>
        </w:tc>
      </w:tr>
    </w:tbl>
    <w:p>
      <w:pPr>
        <w:spacing w:after="40" w:before="0"/>
      </w:pPr>
      <w:r>
        <w:rPr>
          <w:b w:val="0"/>
          <w:i w:val="0"/>
        </w:rPr>
      </w:r>
    </w:p>
    <w:tbl>
      <w:tblPr>
        <w:tblW w:type="auto" w:w="0"/>
        <w:jc w:val="center"/>
        <w:tblLayout w:type="fixed"/>
        <w:tblLook w:firstColumn="1" w:firstRow="1" w:lastColumn="0" w:lastRow="0" w:noHBand="0" w:noVBand="1" w:val="04A0"/>
      </w:tblPr>
      <w:tblGrid>
        <w:gridCol w:w="936"/>
        <w:gridCol w:w="9144"/>
      </w:tblGrid>
      <w:tr>
        <w:tc>
          <w:tcPr>
            <w:tcW w:type="dxa" w:w="5184"/>
            <w:shd w:fill="1F4E79"/>
            <w:tcMar>
              <w:top w:w="160" w:type="dxa"/>
              <w:start w:w="80" w:type="dxa"/>
              <w:bottom w:w="160" w:type="dxa"/>
              <w:end w:w="80" w:type="dxa"/>
            </w:tcMar>
          </w:tcPr>
          <w:p>
            <w:pPr>
              <w:jc w:val="center"/>
            </w:pPr>
            <w:r>
              <w:rPr>
                <w:b/>
                <w:color w:val="FFFFFF"/>
                <w:sz w:val="32"/>
              </w:rPr>
              <w:t>03</w:t>
            </w:r>
          </w:p>
        </w:tc>
        <w:tc>
          <w:tcPr>
            <w:tcW w:type="dxa" w:w="5184"/>
            <w:tcMar>
              <w:top w:w="120" w:type="dxa"/>
              <w:start w:w="180" w:type="dxa"/>
              <w:bottom w:w="120" w:type="dxa"/>
              <w:end w:w="120" w:type="dxa"/>
            </w:tcMar>
          </w:tcPr>
          <w:p>
            <w:r>
              <w:rPr>
                <w:b/>
                <w:color w:val="17365D"/>
                <w:sz w:val="23"/>
              </w:rPr>
              <w:t>Can the organization execute consistently?</w:t>
            </w:r>
          </w:p>
          <w:p>
            <w:pPr>
              <w:spacing w:after="60"/>
            </w:pPr>
            <w:r>
              <w:t>Clear expectations, simple systems, and a disciplined operating rhythm allow good people to perform without constant intervention or extraordinary effort. Consistency compounds.</w:t>
            </w:r>
          </w:p>
          <w:p>
            <w:pPr>
              <w:spacing w:after="0"/>
            </w:pPr>
            <w:r>
              <w:rPr>
                <w:b/>
                <w:color w:val="1F4E79"/>
                <w:sz w:val="16"/>
              </w:rPr>
              <w:t>MasterTile • California Family Fitness • Mid Valley IT</w:t>
            </w:r>
          </w:p>
        </w:tc>
      </w:tr>
    </w:tbl>
    <w:p>
      <w:pPr>
        <w:spacing w:after="40" w:before="0"/>
      </w:pPr>
      <w:r>
        <w:rPr>
          <w:b w:val="0"/>
          <w:i w:val="0"/>
        </w:rPr>
      </w:r>
    </w:p>
    <w:tbl>
      <w:tblPr>
        <w:tblW w:type="auto" w:w="0"/>
        <w:tblLook w:firstColumn="1" w:firstRow="1" w:lastColumn="0" w:lastRow="0" w:noHBand="0" w:noVBand="1" w:val="04A0"/>
      </w:tblPr>
      <w:tblGrid>
        <w:gridCol w:w="10368"/>
      </w:tblGrid>
      <w:tr>
        <w:tc>
          <w:tcPr>
            <w:tcW w:type="dxa" w:w="10368"/>
            <w:shd w:fill="F5F7F9"/>
            <w:tcMar>
              <w:top w:w="170" w:type="dxa"/>
              <w:start w:w="220" w:type="dxa"/>
              <w:bottom w:w="170" w:type="dxa"/>
              <w:end w:w="220" w:type="dxa"/>
            </w:tcMar>
          </w:tcPr>
          <w:p>
            <w:pPr>
              <w:jc w:val="center"/>
            </w:pPr>
            <w:r>
              <w:rPr>
                <w:b/>
                <w:color w:val="17365D"/>
                <w:sz w:val="24"/>
              </w:rPr>
              <w:t>Leadership, decision quality, and execution either reinforce one another or compete with one another. Strong organizations make sure they reinforce one another.</w:t>
            </w:r>
          </w:p>
        </w:tc>
      </w:tr>
    </w:tbl>
    <w:p>
      <w:r>
        <w:br w:type="page"/>
      </w:r>
    </w:p>
    <w:p>
      <w:pPr>
        <w:spacing w:after="60"/>
      </w:pPr>
      <w:r>
        <w:rPr>
          <w:b/>
          <w:color w:val="666666"/>
          <w:sz w:val="16"/>
        </w:rPr>
        <w:t>04</w:t>
      </w:r>
    </w:p>
    <w:p>
      <w:pPr>
        <w:pStyle w:val="Heading1"/>
        <w:pBdr>
          <w:bottom w:val="single" w:sz="8" w:space="1" w:color="B8C9D9"/>
        </w:pBdr>
      </w:pPr>
      <w:r>
        <w:t>In Practice</w:t>
      </w:r>
    </w:p>
    <w:p>
      <w:pPr>
        <w:spacing w:after="240" w:before="0"/>
      </w:pPr>
      <w:r>
        <w:rPr>
          <w:b/>
          <w:i w:val="0"/>
          <w:color w:val="17365D"/>
          <w:sz w:val="25"/>
        </w:rPr>
        <w:t>Different industries. Different business models. The same responsibility: leave the organization more capable than it was before.</w:t>
      </w:r>
    </w:p>
    <w:tbl>
      <w:tblPr>
        <w:tblW w:type="auto" w:w="0"/>
        <w:jc w:val="center"/>
        <w:tblLook w:firstColumn="1" w:firstRow="1" w:lastColumn="0" w:lastRow="0" w:noHBand="0" w:noVBand="1" w:val="04A0"/>
      </w:tblPr>
      <w:tblGrid>
        <w:gridCol w:w="10368"/>
      </w:tblGrid>
      <w:tr>
        <w:tc>
          <w:tcPr>
            <w:tcW w:type="dxa" w:w="10368"/>
            <w:shd w:fill="F5F7F9"/>
            <w:tcMar>
              <w:top w:w="90" w:type="dxa"/>
              <w:start w:w="150" w:type="dxa"/>
              <w:bottom w:w="80" w:type="dxa"/>
              <w:end w:w="150" w:type="dxa"/>
            </w:tcMar>
          </w:tcPr>
          <w:p>
            <w:r>
              <w:rPr>
                <w:b/>
                <w:color w:val="1F4E79"/>
                <w:sz w:val="18"/>
              </w:rPr>
              <w:t>MASTERTILE</w:t>
            </w:r>
          </w:p>
          <w:p>
            <w:r>
              <w:rPr>
                <w:b/>
                <w:color w:val="17365D"/>
                <w:sz w:val="23"/>
              </w:rPr>
              <w:t>Building a business where one no longer existed.</w:t>
            </w:r>
          </w:p>
          <w:tbl>
            <w:tblPr>
              <w:tblW w:type="auto" w:w="0"/>
              <w:tblLayout w:type="fixed"/>
              <w:tblLook w:firstColumn="1" w:firstRow="1" w:lastColumn="0" w:lastRow="0" w:noHBand="0" w:noVBand="1" w:val="04A0"/>
            </w:tblPr>
            <w:tblGrid>
              <w:gridCol w:w="1512"/>
              <w:gridCol w:w="7704"/>
            </w:tblGrid>
            <w:tr>
              <w:tc>
                <w:tcPr>
                  <w:tcW w:type="dxa" w:w="5184"/>
                  <w:tcMar>
                    <w:top w:w="30" w:type="dxa"/>
                    <w:start w:w="0" w:type="dxa"/>
                    <w:bottom w:w="30" w:type="dxa"/>
                    <w:end w:w="80" w:type="dxa"/>
                  </w:tcMar>
                </w:tcPr>
                <w:p>
                  <w:r>
                    <w:rPr>
                      <w:b/>
                      <w:color w:val="666666"/>
                      <w:sz w:val="15"/>
                    </w:rPr>
                    <w:t>CONTEXT</w:t>
                  </w:r>
                </w:p>
              </w:tc>
              <w:tc>
                <w:tcPr>
                  <w:tcW w:type="dxa" w:w="5184"/>
                  <w:tcMar>
                    <w:top w:w="30" w:type="dxa"/>
                    <w:start w:w="60" w:type="dxa"/>
                    <w:bottom w:w="30" w:type="dxa"/>
                    <w:end w:w="0" w:type="dxa"/>
                  </w:tcMar>
                </w:tcPr>
                <w:p>
                  <w:r>
                    <w:t>Multiple Bay Area branch closures left little existing business and required the territory to be rebuilt.</w:t>
                  </w:r>
                </w:p>
              </w:tc>
            </w:tr>
            <w:tr>
              <w:tc>
                <w:tcPr>
                  <w:tcW w:type="dxa" w:w="5184"/>
                  <w:tcMar>
                    <w:top w:w="30" w:type="dxa"/>
                    <w:start w:w="0" w:type="dxa"/>
                    <w:bottom w:w="30" w:type="dxa"/>
                    <w:end w:w="80" w:type="dxa"/>
                  </w:tcMar>
                </w:tcPr>
                <w:p>
                  <w:r>
                    <w:rPr>
                      <w:b/>
                      <w:color w:val="666666"/>
                      <w:sz w:val="15"/>
                    </w:rPr>
                    <w:t>FOCUS</w:t>
                  </w:r>
                </w:p>
              </w:tc>
              <w:tc>
                <w:tcPr>
                  <w:tcW w:type="dxa" w:w="5184"/>
                  <w:tcMar>
                    <w:top w:w="30" w:type="dxa"/>
                    <w:start w:w="60" w:type="dxa"/>
                    <w:bottom w:w="30" w:type="dxa"/>
                    <w:end w:w="0" w:type="dxa"/>
                  </w:tcMar>
                </w:tcPr>
                <w:p>
                  <w:r>
                    <w:t>Learn the market, rebuild customer confidence, develop relationships, and create repeatable commercial execution.</w:t>
                  </w:r>
                </w:p>
              </w:tc>
            </w:tr>
            <w:tr>
              <w:tc>
                <w:tcPr>
                  <w:tcW w:type="dxa" w:w="5184"/>
                  <w:tcMar>
                    <w:top w:w="30" w:type="dxa"/>
                    <w:start w:w="0" w:type="dxa"/>
                    <w:bottom w:w="30" w:type="dxa"/>
                    <w:end w:w="80" w:type="dxa"/>
                  </w:tcMar>
                </w:tcPr>
                <w:p>
                  <w:r>
                    <w:rPr>
                      <w:b/>
                      <w:color w:val="666666"/>
                      <w:sz w:val="15"/>
                    </w:rPr>
                    <w:t>OUTCOME</w:t>
                  </w:r>
                </w:p>
              </w:tc>
              <w:tc>
                <w:tcPr>
                  <w:tcW w:type="dxa" w:w="5184"/>
                  <w:tcMar>
                    <w:top w:w="30" w:type="dxa"/>
                    <w:start w:w="60" w:type="dxa"/>
                    <w:bottom w:w="30" w:type="dxa"/>
                    <w:end w:w="0" w:type="dxa"/>
                  </w:tcMar>
                </w:tcPr>
                <w:p>
                  <w:r>
                    <w:t>Annual revenue grew from approximately $30K to more than $1.2M during the first full year. The territory eventually supported three additional Territory Managers.</w:t>
                  </w:r>
                </w:p>
              </w:tc>
            </w:tr>
          </w:tbl>
          <w:p/>
          <w:p>
            <w:pPr>
              <w:spacing w:before="40" w:after="0"/>
            </w:pPr>
            <w:r>
              <w:rPr>
                <w:b/>
                <w:i/>
                <w:color w:val="2B2B2B"/>
              </w:rPr>
              <w:t>The assignment began as rebuilding revenue. It became a lesson in building the business behind it.</w:t>
            </w:r>
          </w:p>
        </w:tc>
      </w:tr>
    </w:tbl>
    <w:p>
      <w:pPr>
        <w:spacing w:after="0" w:before="0"/>
      </w:pPr>
      <w:r>
        <w:rPr>
          <w:b w:val="0"/>
          <w:i w:val="0"/>
        </w:rPr>
      </w:r>
    </w:p>
    <w:tbl>
      <w:tblPr>
        <w:tblW w:type="auto" w:w="0"/>
        <w:jc w:val="center"/>
        <w:tblLook w:firstColumn="1" w:firstRow="1" w:lastColumn="0" w:lastRow="0" w:noHBand="0" w:noVBand="1" w:val="04A0"/>
      </w:tblPr>
      <w:tblGrid>
        <w:gridCol w:w="10368"/>
      </w:tblGrid>
      <w:tr>
        <w:tc>
          <w:tcPr>
            <w:tcW w:type="dxa" w:w="10368"/>
            <w:shd w:fill="F5F7F9"/>
            <w:tcMar>
              <w:top w:w="90" w:type="dxa"/>
              <w:start w:w="150" w:type="dxa"/>
              <w:bottom w:w="80" w:type="dxa"/>
              <w:end w:w="150" w:type="dxa"/>
            </w:tcMar>
          </w:tcPr>
          <w:p>
            <w:r>
              <w:rPr>
                <w:b/>
                <w:color w:val="1F4E79"/>
                <w:sz w:val="18"/>
              </w:rPr>
              <w:t>SUREWEST COMMUNICATIONS</w:t>
            </w:r>
          </w:p>
          <w:p>
            <w:r>
              <w:rPr>
                <w:b/>
                <w:color w:val="17365D"/>
                <w:sz w:val="23"/>
              </w:rPr>
              <w:t>Growth exposed leadership. Leadership enabled growth.</w:t>
            </w:r>
          </w:p>
          <w:tbl>
            <w:tblPr>
              <w:tblW w:type="auto" w:w="0"/>
              <w:tblLayout w:type="fixed"/>
              <w:tblLook w:firstColumn="1" w:firstRow="1" w:lastColumn="0" w:lastRow="0" w:noHBand="0" w:noVBand="1" w:val="04A0"/>
            </w:tblPr>
            <w:tblGrid>
              <w:gridCol w:w="1512"/>
              <w:gridCol w:w="7704"/>
            </w:tblGrid>
            <w:tr>
              <w:tc>
                <w:tcPr>
                  <w:tcW w:type="dxa" w:w="5184"/>
                  <w:tcMar>
                    <w:top w:w="30" w:type="dxa"/>
                    <w:start w:w="0" w:type="dxa"/>
                    <w:bottom w:w="30" w:type="dxa"/>
                    <w:end w:w="80" w:type="dxa"/>
                  </w:tcMar>
                </w:tcPr>
                <w:p>
                  <w:r>
                    <w:rPr>
                      <w:b/>
                      <w:color w:val="666666"/>
                      <w:sz w:val="15"/>
                    </w:rPr>
                    <w:t>CONTEXT</w:t>
                  </w:r>
                </w:p>
              </w:tc>
              <w:tc>
                <w:tcPr>
                  <w:tcW w:type="dxa" w:w="5184"/>
                  <w:tcMar>
                    <w:top w:w="30" w:type="dxa"/>
                    <w:start w:w="60" w:type="dxa"/>
                    <w:bottom w:w="30" w:type="dxa"/>
                    <w:end w:w="0" w:type="dxa"/>
                  </w:tcMar>
                </w:tcPr>
                <w:p>
                  <w:r>
                    <w:t>A three-person operation was expanding quickly and needed structure that could scale with headcount.</w:t>
                  </w:r>
                </w:p>
              </w:tc>
            </w:tr>
            <w:tr>
              <w:tc>
                <w:tcPr>
                  <w:tcW w:type="dxa" w:w="5184"/>
                  <w:tcMar>
                    <w:top w:w="30" w:type="dxa"/>
                    <w:start w:w="0" w:type="dxa"/>
                    <w:bottom w:w="30" w:type="dxa"/>
                    <w:end w:w="80" w:type="dxa"/>
                  </w:tcMar>
                </w:tcPr>
                <w:p>
                  <w:r>
                    <w:rPr>
                      <w:b/>
                      <w:color w:val="666666"/>
                      <w:sz w:val="15"/>
                    </w:rPr>
                    <w:t>FOCUS</w:t>
                  </w:r>
                </w:p>
              </w:tc>
              <w:tc>
                <w:tcPr>
                  <w:tcW w:type="dxa" w:w="5184"/>
                  <w:tcMar>
                    <w:top w:w="30" w:type="dxa"/>
                    <w:start w:w="60" w:type="dxa"/>
                    <w:bottom w:w="30" w:type="dxa"/>
                    <w:end w:w="0" w:type="dxa"/>
                  </w:tcMar>
                </w:tcPr>
                <w:p>
                  <w:r>
                    <w:t>Recruit continuously, develop managers, establish expectations, and shift leadership from individual performance to organizational capability.</w:t>
                  </w:r>
                </w:p>
              </w:tc>
            </w:tr>
            <w:tr>
              <w:tc>
                <w:tcPr>
                  <w:tcW w:type="dxa" w:w="5184"/>
                  <w:tcMar>
                    <w:top w:w="30" w:type="dxa"/>
                    <w:start w:w="0" w:type="dxa"/>
                    <w:bottom w:w="30" w:type="dxa"/>
                    <w:end w:w="80" w:type="dxa"/>
                  </w:tcMar>
                </w:tcPr>
                <w:p>
                  <w:r>
                    <w:rPr>
                      <w:b/>
                      <w:color w:val="666666"/>
                      <w:sz w:val="15"/>
                    </w:rPr>
                    <w:t>OUTCOME</w:t>
                  </w:r>
                </w:p>
              </w:tc>
              <w:tc>
                <w:tcPr>
                  <w:tcW w:type="dxa" w:w="5184"/>
                  <w:tcMar>
                    <w:top w:w="30" w:type="dxa"/>
                    <w:start w:w="60" w:type="dxa"/>
                    <w:bottom w:w="30" w:type="dxa"/>
                    <w:end w:w="0" w:type="dxa"/>
                  </w:tcMar>
                </w:tcPr>
                <w:p>
                  <w:r>
                    <w:t>The organization grew to approximately forty sales professionals across Residential and Commercial teams, led through four Sales Managers.</w:t>
                  </w:r>
                </w:p>
              </w:tc>
            </w:tr>
          </w:tbl>
          <w:p/>
          <w:p>
            <w:pPr>
              <w:spacing w:before="40" w:after="0"/>
            </w:pPr>
            <w:r>
              <w:rPr>
                <w:b/>
                <w:i/>
                <w:color w:val="2B2B2B"/>
              </w:rPr>
              <w:t>Organizations do not scale because one leader works harder. They scale when leadership multiplies.</w:t>
            </w:r>
          </w:p>
        </w:tc>
      </w:tr>
    </w:tbl>
    <w:p>
      <w:pPr>
        <w:spacing w:after="0" w:before="0"/>
      </w:pPr>
      <w:r>
        <w:rPr>
          <w:b w:val="0"/>
          <w:i w:val="0"/>
        </w:rPr>
      </w:r>
    </w:p>
    <w:tbl>
      <w:tblPr>
        <w:tblW w:type="auto" w:w="0"/>
        <w:jc w:val="center"/>
        <w:tblLook w:firstColumn="1" w:firstRow="1" w:lastColumn="0" w:lastRow="0" w:noHBand="0" w:noVBand="1" w:val="04A0"/>
      </w:tblPr>
      <w:tblGrid>
        <w:gridCol w:w="10368"/>
      </w:tblGrid>
      <w:tr>
        <w:tc>
          <w:tcPr>
            <w:tcW w:type="dxa" w:w="10368"/>
            <w:shd w:fill="F5F7F9"/>
            <w:tcMar>
              <w:top w:w="90" w:type="dxa"/>
              <w:start w:w="150" w:type="dxa"/>
              <w:bottom w:w="80" w:type="dxa"/>
              <w:end w:w="150" w:type="dxa"/>
            </w:tcMar>
          </w:tcPr>
          <w:p>
            <w:r>
              <w:rPr>
                <w:b/>
                <w:color w:val="1F4E79"/>
                <w:sz w:val="18"/>
              </w:rPr>
              <w:t>CALIFORNIA FAMILY FITNESS</w:t>
            </w:r>
          </w:p>
          <w:p>
            <w:r>
              <w:rPr>
                <w:b/>
                <w:color w:val="17365D"/>
                <w:sz w:val="23"/>
              </w:rPr>
              <w:t>Departments do not grow businesses. Organizations do.</w:t>
            </w:r>
          </w:p>
          <w:tbl>
            <w:tblPr>
              <w:tblW w:type="auto" w:w="0"/>
              <w:tblLayout w:type="fixed"/>
              <w:tblLook w:firstColumn="1" w:firstRow="1" w:lastColumn="0" w:lastRow="0" w:noHBand="0" w:noVBand="1" w:val="04A0"/>
            </w:tblPr>
            <w:tblGrid>
              <w:gridCol w:w="1512"/>
              <w:gridCol w:w="7704"/>
            </w:tblGrid>
            <w:tr>
              <w:tc>
                <w:tcPr>
                  <w:tcW w:type="dxa" w:w="5184"/>
                  <w:tcMar>
                    <w:top w:w="30" w:type="dxa"/>
                    <w:start w:w="0" w:type="dxa"/>
                    <w:bottom w:w="30" w:type="dxa"/>
                    <w:end w:w="80" w:type="dxa"/>
                  </w:tcMar>
                </w:tcPr>
                <w:p>
                  <w:r>
                    <w:rPr>
                      <w:b/>
                      <w:color w:val="666666"/>
                      <w:sz w:val="15"/>
                    </w:rPr>
                    <w:t>CONTEXT</w:t>
                  </w:r>
                </w:p>
              </w:tc>
              <w:tc>
                <w:tcPr>
                  <w:tcW w:type="dxa" w:w="5184"/>
                  <w:tcMar>
                    <w:top w:w="30" w:type="dxa"/>
                    <w:start w:w="60" w:type="dxa"/>
                    <w:bottom w:w="30" w:type="dxa"/>
                    <w:end w:w="0" w:type="dxa"/>
                  </w:tcMar>
                </w:tcPr>
                <w:p>
                  <w:r>
                    <w:t>Lead the company’s largest Fitness business while improving consistency across eight locations.</w:t>
                  </w:r>
                </w:p>
              </w:tc>
            </w:tr>
            <w:tr>
              <w:tc>
                <w:tcPr>
                  <w:tcW w:type="dxa" w:w="5184"/>
                  <w:tcMar>
                    <w:top w:w="30" w:type="dxa"/>
                    <w:start w:w="0" w:type="dxa"/>
                    <w:bottom w:w="30" w:type="dxa"/>
                    <w:end w:w="80" w:type="dxa"/>
                  </w:tcMar>
                </w:tcPr>
                <w:p>
                  <w:r>
                    <w:rPr>
                      <w:b/>
                      <w:color w:val="666666"/>
                      <w:sz w:val="15"/>
                    </w:rPr>
                    <w:t>FOCUS</w:t>
                  </w:r>
                </w:p>
              </w:tc>
              <w:tc>
                <w:tcPr>
                  <w:tcW w:type="dxa" w:w="5184"/>
                  <w:tcMar>
                    <w:top w:w="30" w:type="dxa"/>
                    <w:start w:w="60" w:type="dxa"/>
                    <w:bottom w:w="30" w:type="dxa"/>
                    <w:end w:w="0" w:type="dxa"/>
                  </w:tcMar>
                </w:tcPr>
                <w:p>
                  <w:r>
                    <w:t>Connect budgeting, forecasting, staffing, coaching, customer experience, and operating performance rather than treating them as separate conversations.</w:t>
                  </w:r>
                </w:p>
              </w:tc>
            </w:tr>
            <w:tr>
              <w:tc>
                <w:tcPr>
                  <w:tcW w:type="dxa" w:w="5184"/>
                  <w:tcMar>
                    <w:top w:w="30" w:type="dxa"/>
                    <w:start w:w="0" w:type="dxa"/>
                    <w:bottom w:w="30" w:type="dxa"/>
                    <w:end w:w="80" w:type="dxa"/>
                  </w:tcMar>
                </w:tcPr>
                <w:p>
                  <w:r>
                    <w:rPr>
                      <w:b/>
                      <w:color w:val="666666"/>
                      <w:sz w:val="15"/>
                    </w:rPr>
                    <w:t>OUTCOME</w:t>
                  </w:r>
                </w:p>
              </w:tc>
              <w:tc>
                <w:tcPr>
                  <w:tcW w:type="dxa" w:w="5184"/>
                  <w:tcMar>
                    <w:top w:w="30" w:type="dxa"/>
                    <w:start w:w="60" w:type="dxa"/>
                    <w:bottom w:w="30" w:type="dxa"/>
                    <w:end w:w="0" w:type="dxa"/>
                  </w:tcMar>
                </w:tcPr>
                <w:p>
                  <w:r>
                    <w:t>Led an approximately $18M operation with more than ninety employees and about $6M in annual Personal Training revenue.</w:t>
                  </w:r>
                </w:p>
              </w:tc>
            </w:tr>
          </w:tbl>
          <w:p/>
          <w:p>
            <w:pPr>
              <w:spacing w:before="40" w:after="0"/>
            </w:pPr>
            <w:r>
              <w:rPr>
                <w:b/>
                <w:i/>
                <w:color w:val="2B2B2B"/>
              </w:rPr>
              <w:t>Forecasting stopped being a reporting exercise and became a leadership tool for building the next month before the current one ended.</w:t>
            </w:r>
          </w:p>
        </w:tc>
      </w:tr>
    </w:tbl>
    <w:p>
      <w:pPr>
        <w:spacing w:after="0" w:before="0"/>
      </w:pPr>
      <w:r>
        <w:rPr>
          <w:b w:val="0"/>
          <w:i w:val="0"/>
        </w:rPr>
      </w:r>
    </w:p>
    <w:p>
      <w:r>
        <w:br w:type="page"/>
      </w:r>
    </w:p>
    <w:p>
      <w:pPr>
        <w:spacing w:after="60"/>
      </w:pPr>
      <w:r>
        <w:rPr>
          <w:b/>
          <w:color w:val="666666"/>
          <w:sz w:val="16"/>
        </w:rPr>
        <w:t>04</w:t>
      </w:r>
    </w:p>
    <w:p>
      <w:pPr>
        <w:pStyle w:val="Heading1"/>
        <w:pBdr>
          <w:bottom w:val="single" w:sz="8" w:space="1" w:color="B8C9D9"/>
        </w:pBdr>
      </w:pPr>
      <w:r>
        <w:t>In Practice — Continued</w:t>
      </w:r>
    </w:p>
    <w:tbl>
      <w:tblPr>
        <w:tblW w:type="auto" w:w="0"/>
        <w:jc w:val="center"/>
        <w:tblLook w:firstColumn="1" w:firstRow="1" w:lastColumn="0" w:lastRow="0" w:noHBand="0" w:noVBand="1" w:val="04A0"/>
      </w:tblPr>
      <w:tblGrid>
        <w:gridCol w:w="10368"/>
      </w:tblGrid>
      <w:tr>
        <w:tc>
          <w:tcPr>
            <w:tcW w:type="dxa" w:w="10368"/>
            <w:shd w:fill="F5F7F9"/>
            <w:tcMar>
              <w:top w:w="90" w:type="dxa"/>
              <w:start w:w="150" w:type="dxa"/>
              <w:bottom w:w="80" w:type="dxa"/>
              <w:end w:w="150" w:type="dxa"/>
            </w:tcMar>
          </w:tcPr>
          <w:p>
            <w:r>
              <w:rPr>
                <w:b/>
                <w:color w:val="1F4E79"/>
                <w:sz w:val="18"/>
              </w:rPr>
              <w:t>COGENT SOLUTIONS &amp; SUPPLIES</w:t>
            </w:r>
          </w:p>
          <w:p>
            <w:r>
              <w:rPr>
                <w:b/>
                <w:color w:val="17365D"/>
                <w:sz w:val="23"/>
              </w:rPr>
              <w:t>Healthy growth requires judgment.</w:t>
            </w:r>
          </w:p>
          <w:tbl>
            <w:tblPr>
              <w:tblW w:type="auto" w:w="0"/>
              <w:tblLayout w:type="fixed"/>
              <w:tblLook w:firstColumn="1" w:firstRow="1" w:lastColumn="0" w:lastRow="0" w:noHBand="0" w:noVBand="1" w:val="04A0"/>
            </w:tblPr>
            <w:tblGrid>
              <w:gridCol w:w="1512"/>
              <w:gridCol w:w="7704"/>
            </w:tblGrid>
            <w:tr>
              <w:tc>
                <w:tcPr>
                  <w:tcW w:type="dxa" w:w="5184"/>
                  <w:tcMar>
                    <w:top w:w="30" w:type="dxa"/>
                    <w:start w:w="0" w:type="dxa"/>
                    <w:bottom w:w="30" w:type="dxa"/>
                    <w:end w:w="80" w:type="dxa"/>
                  </w:tcMar>
                </w:tcPr>
                <w:p>
                  <w:r>
                    <w:rPr>
                      <w:b/>
                      <w:color w:val="666666"/>
                      <w:sz w:val="15"/>
                    </w:rPr>
                    <w:t>CONTEXT</w:t>
                  </w:r>
                </w:p>
              </w:tc>
              <w:tc>
                <w:tcPr>
                  <w:tcW w:type="dxa" w:w="5184"/>
                  <w:tcMar>
                    <w:top w:w="30" w:type="dxa"/>
                    <w:start w:w="60" w:type="dxa"/>
                    <w:bottom w:w="30" w:type="dxa"/>
                    <w:end w:w="0" w:type="dxa"/>
                  </w:tcMar>
                </w:tcPr>
                <w:p>
                  <w:r>
                    <w:t>Improve profitability inside a mature, price-sensitive industrial territory with a diverse customer base.</w:t>
                  </w:r>
                </w:p>
              </w:tc>
            </w:tr>
            <w:tr>
              <w:tc>
                <w:tcPr>
                  <w:tcW w:type="dxa" w:w="5184"/>
                  <w:tcMar>
                    <w:top w:w="30" w:type="dxa"/>
                    <w:start w:w="0" w:type="dxa"/>
                    <w:bottom w:w="30" w:type="dxa"/>
                    <w:end w:w="80" w:type="dxa"/>
                  </w:tcMar>
                </w:tcPr>
                <w:p>
                  <w:r>
                    <w:rPr>
                      <w:b/>
                      <w:color w:val="666666"/>
                      <w:sz w:val="15"/>
                    </w:rPr>
                    <w:t>FOCUS</w:t>
                  </w:r>
                </w:p>
              </w:tc>
              <w:tc>
                <w:tcPr>
                  <w:tcW w:type="dxa" w:w="5184"/>
                  <w:tcMar>
                    <w:top w:w="30" w:type="dxa"/>
                    <w:start w:w="60" w:type="dxa"/>
                    <w:bottom w:w="30" w:type="dxa"/>
                    <w:end w:w="0" w:type="dxa"/>
                  </w:tcMar>
                </w:tcPr>
                <w:p>
                  <w:r>
                    <w:t>Understand the customer’s business, expand the right relationships, protect margin, and avoid treating every revenue opportunity as equally valuable.</w:t>
                  </w:r>
                </w:p>
              </w:tc>
            </w:tr>
            <w:tr>
              <w:tc>
                <w:tcPr>
                  <w:tcW w:type="dxa" w:w="5184"/>
                  <w:tcMar>
                    <w:top w:w="30" w:type="dxa"/>
                    <w:start w:w="0" w:type="dxa"/>
                    <w:bottom w:w="30" w:type="dxa"/>
                    <w:end w:w="80" w:type="dxa"/>
                  </w:tcMar>
                </w:tcPr>
                <w:p>
                  <w:r>
                    <w:rPr>
                      <w:b/>
                      <w:color w:val="666666"/>
                      <w:sz w:val="15"/>
                    </w:rPr>
                    <w:t>OUTCOME</w:t>
                  </w:r>
                </w:p>
              </w:tc>
              <w:tc>
                <w:tcPr>
                  <w:tcW w:type="dxa" w:w="5184"/>
                  <w:tcMar>
                    <w:top w:w="30" w:type="dxa"/>
                    <w:start w:w="60" w:type="dxa"/>
                    <w:bottom w:w="30" w:type="dxa"/>
                    <w:end w:w="0" w:type="dxa"/>
                  </w:tcMar>
                </w:tcPr>
                <w:p>
                  <w:r>
                    <w:t>Managed a portfolio exceeding $40M while monthly gross profit increased from approximately $25K to $45K.</w:t>
                  </w:r>
                </w:p>
              </w:tc>
            </w:tr>
          </w:tbl>
          <w:p/>
          <w:p>
            <w:pPr>
              <w:spacing w:before="40" w:after="0"/>
            </w:pPr>
            <w:r>
              <w:rPr>
                <w:b/>
                <w:i/>
                <w:color w:val="2B2B2B"/>
              </w:rPr>
              <w:t>Revenue matters. The quality and durability of that revenue matter more.</w:t>
            </w:r>
          </w:p>
        </w:tc>
      </w:tr>
    </w:tbl>
    <w:p>
      <w:pPr>
        <w:spacing w:after="0" w:before="0"/>
      </w:pPr>
      <w:r>
        <w:rPr>
          <w:b w:val="0"/>
          <w:i w:val="0"/>
        </w:rPr>
      </w:r>
    </w:p>
    <w:tbl>
      <w:tblPr>
        <w:tblW w:type="auto" w:w="0"/>
        <w:jc w:val="center"/>
        <w:tblLook w:firstColumn="1" w:firstRow="1" w:lastColumn="0" w:lastRow="0" w:noHBand="0" w:noVBand="1" w:val="04A0"/>
      </w:tblPr>
      <w:tblGrid>
        <w:gridCol w:w="10368"/>
      </w:tblGrid>
      <w:tr>
        <w:tc>
          <w:tcPr>
            <w:tcW w:type="dxa" w:w="10368"/>
            <w:shd w:fill="F5F7F9"/>
            <w:tcMar>
              <w:top w:w="90" w:type="dxa"/>
              <w:start w:w="150" w:type="dxa"/>
              <w:bottom w:w="80" w:type="dxa"/>
              <w:end w:w="150" w:type="dxa"/>
            </w:tcMar>
          </w:tcPr>
          <w:p>
            <w:r>
              <w:rPr>
                <w:b/>
                <w:color w:val="1F4E79"/>
                <w:sz w:val="18"/>
              </w:rPr>
              <w:t>VISION ENGINEERING</w:t>
            </w:r>
          </w:p>
          <w:p>
            <w:r>
              <w:rPr>
                <w:b/>
                <w:color w:val="17365D"/>
                <w:sz w:val="23"/>
              </w:rPr>
              <w:t>Consistency became the competitive advantage.</w:t>
            </w:r>
          </w:p>
          <w:tbl>
            <w:tblPr>
              <w:tblW w:type="auto" w:w="0"/>
              <w:tblLayout w:type="fixed"/>
              <w:tblLook w:firstColumn="1" w:firstRow="1" w:lastColumn="0" w:lastRow="0" w:noHBand="0" w:noVBand="1" w:val="04A0"/>
            </w:tblPr>
            <w:tblGrid>
              <w:gridCol w:w="1512"/>
              <w:gridCol w:w="7704"/>
            </w:tblGrid>
            <w:tr>
              <w:tc>
                <w:tcPr>
                  <w:tcW w:type="dxa" w:w="5184"/>
                  <w:tcMar>
                    <w:top w:w="30" w:type="dxa"/>
                    <w:start w:w="0" w:type="dxa"/>
                    <w:bottom w:w="30" w:type="dxa"/>
                    <w:end w:w="80" w:type="dxa"/>
                  </w:tcMar>
                </w:tcPr>
                <w:p>
                  <w:r>
                    <w:rPr>
                      <w:b/>
                      <w:color w:val="666666"/>
                      <w:sz w:val="15"/>
                    </w:rPr>
                    <w:t>CONTEXT</w:t>
                  </w:r>
                </w:p>
              </w:tc>
              <w:tc>
                <w:tcPr>
                  <w:tcW w:type="dxa" w:w="5184"/>
                  <w:tcMar>
                    <w:top w:w="30" w:type="dxa"/>
                    <w:start w:w="60" w:type="dxa"/>
                    <w:bottom w:w="30" w:type="dxa"/>
                    <w:end w:w="0" w:type="dxa"/>
                  </w:tcMar>
                </w:tcPr>
                <w:p>
                  <w:r>
                    <w:t>Restore commercial stability across a region that had experienced extended turnover and inconsistent performance.</w:t>
                  </w:r>
                </w:p>
              </w:tc>
            </w:tr>
            <w:tr>
              <w:tc>
                <w:tcPr>
                  <w:tcW w:type="dxa" w:w="5184"/>
                  <w:tcMar>
                    <w:top w:w="30" w:type="dxa"/>
                    <w:start w:w="0" w:type="dxa"/>
                    <w:bottom w:w="30" w:type="dxa"/>
                    <w:end w:w="80" w:type="dxa"/>
                  </w:tcMar>
                </w:tcPr>
                <w:p>
                  <w:r>
                    <w:rPr>
                      <w:b/>
                      <w:color w:val="666666"/>
                      <w:sz w:val="15"/>
                    </w:rPr>
                    <w:t>FOCUS</w:t>
                  </w:r>
                </w:p>
              </w:tc>
              <w:tc>
                <w:tcPr>
                  <w:tcW w:type="dxa" w:w="5184"/>
                  <w:tcMar>
                    <w:top w:w="30" w:type="dxa"/>
                    <w:start w:w="60" w:type="dxa"/>
                    <w:bottom w:w="30" w:type="dxa"/>
                    <w:end w:w="0" w:type="dxa"/>
                  </w:tcMar>
                </w:tcPr>
                <w:p>
                  <w:r>
                    <w:t>Align seven Regional Sales Executives, four Manufacturer Representatives, and distributors around forecasting, territory planning, account development, and coaching.</w:t>
                  </w:r>
                </w:p>
              </w:tc>
            </w:tr>
            <w:tr>
              <w:tc>
                <w:tcPr>
                  <w:tcW w:type="dxa" w:w="5184"/>
                  <w:tcMar>
                    <w:top w:w="30" w:type="dxa"/>
                    <w:start w:w="0" w:type="dxa"/>
                    <w:bottom w:w="30" w:type="dxa"/>
                    <w:end w:w="80" w:type="dxa"/>
                  </w:tcMar>
                </w:tcPr>
                <w:p>
                  <w:r>
                    <w:rPr>
                      <w:b/>
                      <w:color w:val="666666"/>
                      <w:sz w:val="15"/>
                    </w:rPr>
                    <w:t>OUTCOME</w:t>
                  </w:r>
                </w:p>
              </w:tc>
              <w:tc>
                <w:tcPr>
                  <w:tcW w:type="dxa" w:w="5184"/>
                  <w:tcMar>
                    <w:top w:w="30" w:type="dxa"/>
                    <w:start w:w="60" w:type="dxa"/>
                    <w:bottom w:w="30" w:type="dxa"/>
                    <w:end w:w="0" w:type="dxa"/>
                  </w:tcMar>
                </w:tcPr>
                <w:p>
                  <w:r>
                    <w:t>Canadian revenue increased 17% while the Pacific Northwest increased 12%.</w:t>
                  </w:r>
                </w:p>
              </w:tc>
            </w:tr>
          </w:tbl>
          <w:p/>
          <w:p>
            <w:pPr>
              <w:spacing w:before="40" w:after="0"/>
            </w:pPr>
            <w:r>
              <w:rPr>
                <w:b/>
                <w:i/>
                <w:color w:val="2B2B2B"/>
              </w:rPr>
              <w:t>Authority mattered less than alignment. The region improved when expectations and execution became more consistent.</w:t>
            </w:r>
          </w:p>
        </w:tc>
      </w:tr>
    </w:tbl>
    <w:p>
      <w:pPr>
        <w:spacing w:after="0" w:before="0"/>
      </w:pPr>
      <w:r>
        <w:rPr>
          <w:b w:val="0"/>
          <w:i w:val="0"/>
        </w:rPr>
      </w:r>
    </w:p>
    <w:tbl>
      <w:tblPr>
        <w:tblW w:type="auto" w:w="0"/>
        <w:jc w:val="center"/>
        <w:tblLook w:firstColumn="1" w:firstRow="1" w:lastColumn="0" w:lastRow="0" w:noHBand="0" w:noVBand="1" w:val="04A0"/>
      </w:tblPr>
      <w:tblGrid>
        <w:gridCol w:w="10368"/>
      </w:tblGrid>
      <w:tr>
        <w:tc>
          <w:tcPr>
            <w:tcW w:type="dxa" w:w="10368"/>
            <w:shd w:fill="F5F7F9"/>
            <w:tcMar>
              <w:top w:w="90" w:type="dxa"/>
              <w:start w:w="150" w:type="dxa"/>
              <w:bottom w:w="80" w:type="dxa"/>
              <w:end w:w="150" w:type="dxa"/>
            </w:tcMar>
          </w:tcPr>
          <w:p>
            <w:r>
              <w:rPr>
                <w:b/>
                <w:color w:val="1F4E79"/>
                <w:sz w:val="18"/>
              </w:rPr>
              <w:t>MID VALLEY IT</w:t>
            </w:r>
          </w:p>
          <w:p>
            <w:r>
              <w:rPr>
                <w:b/>
                <w:color w:val="17365D"/>
                <w:sz w:val="23"/>
              </w:rPr>
              <w:t>Commercial leadership works best when it is connected to ownership.</w:t>
            </w:r>
          </w:p>
          <w:tbl>
            <w:tblPr>
              <w:tblW w:type="auto" w:w="0"/>
              <w:tblLayout w:type="fixed"/>
              <w:tblLook w:firstColumn="1" w:firstRow="1" w:lastColumn="0" w:lastRow="0" w:noHBand="0" w:noVBand="1" w:val="04A0"/>
            </w:tblPr>
            <w:tblGrid>
              <w:gridCol w:w="1512"/>
              <w:gridCol w:w="7704"/>
            </w:tblGrid>
            <w:tr>
              <w:tc>
                <w:tcPr>
                  <w:tcW w:type="dxa" w:w="5184"/>
                  <w:tcMar>
                    <w:top w:w="30" w:type="dxa"/>
                    <w:start w:w="0" w:type="dxa"/>
                    <w:bottom w:w="30" w:type="dxa"/>
                    <w:end w:w="80" w:type="dxa"/>
                  </w:tcMar>
                </w:tcPr>
                <w:p>
                  <w:r>
                    <w:rPr>
                      <w:b/>
                      <w:color w:val="666666"/>
                      <w:sz w:val="15"/>
                    </w:rPr>
                    <w:t>CONTEXT</w:t>
                  </w:r>
                </w:p>
              </w:tc>
              <w:tc>
                <w:tcPr>
                  <w:tcW w:type="dxa" w:w="5184"/>
                  <w:tcMar>
                    <w:top w:w="30" w:type="dxa"/>
                    <w:start w:w="60" w:type="dxa"/>
                    <w:bottom w:w="30" w:type="dxa"/>
                    <w:end w:w="0" w:type="dxa"/>
                  </w:tcMar>
                </w:tcPr>
                <w:p>
                  <w:r>
                    <w:t>Develop new business while helping ownership strengthen the commercial side of a growth-stage company.</w:t>
                  </w:r>
                </w:p>
              </w:tc>
            </w:tr>
            <w:tr>
              <w:tc>
                <w:tcPr>
                  <w:tcW w:type="dxa" w:w="5184"/>
                  <w:tcMar>
                    <w:top w:w="30" w:type="dxa"/>
                    <w:start w:w="0" w:type="dxa"/>
                    <w:bottom w:w="30" w:type="dxa"/>
                    <w:end w:w="80" w:type="dxa"/>
                  </w:tcMar>
                </w:tcPr>
                <w:p>
                  <w:r>
                    <w:rPr>
                      <w:b/>
                      <w:color w:val="666666"/>
                      <w:sz w:val="15"/>
                    </w:rPr>
                    <w:t>FOCUS</w:t>
                  </w:r>
                </w:p>
              </w:tc>
              <w:tc>
                <w:tcPr>
                  <w:tcW w:type="dxa" w:w="5184"/>
                  <w:tcMar>
                    <w:top w:w="30" w:type="dxa"/>
                    <w:start w:w="60" w:type="dxa"/>
                    <w:bottom w:w="30" w:type="dxa"/>
                    <w:end w:w="0" w:type="dxa"/>
                  </w:tcMar>
                </w:tcPr>
                <w:p>
                  <w:r>
                    <w:t>Contribute to forecasting, pipeline management, territory planning, sales process, positioning, and the structure required for long-term growth.</w:t>
                  </w:r>
                </w:p>
              </w:tc>
            </w:tr>
            <w:tr>
              <w:tc>
                <w:tcPr>
                  <w:tcW w:type="dxa" w:w="5184"/>
                  <w:tcMar>
                    <w:top w:w="30" w:type="dxa"/>
                    <w:start w:w="0" w:type="dxa"/>
                    <w:bottom w:w="30" w:type="dxa"/>
                    <w:end w:w="80" w:type="dxa"/>
                  </w:tcMar>
                </w:tcPr>
                <w:p>
                  <w:r>
                    <w:rPr>
                      <w:b/>
                      <w:color w:val="666666"/>
                      <w:sz w:val="15"/>
                    </w:rPr>
                    <w:t>OUTCOME</w:t>
                  </w:r>
                </w:p>
              </w:tc>
              <w:tc>
                <w:tcPr>
                  <w:tcW w:type="dxa" w:w="5184"/>
                  <w:tcMar>
                    <w:top w:w="30" w:type="dxa"/>
                    <w:start w:w="60" w:type="dxa"/>
                    <w:bottom w:w="30" w:type="dxa"/>
                    <w:end w:w="0" w:type="dxa"/>
                  </w:tcMar>
                </w:tcPr>
                <w:p>
                  <w:r>
                    <w:t>Built executive relationships across the Central Valley while helping connect immediate business development to broader commercial priorities.</w:t>
                  </w:r>
                </w:p>
              </w:tc>
            </w:tr>
          </w:tbl>
          <w:p/>
          <w:p>
            <w:pPr>
              <w:spacing w:before="40" w:after="0"/>
            </w:pPr>
            <w:r>
              <w:rPr>
                <w:b/>
                <w:i/>
                <w:color w:val="2B2B2B"/>
              </w:rPr>
              <w:t>The closer leadership gets to ownership, the more every conversation becomes about the business rather than the department.</w:t>
            </w:r>
          </w:p>
        </w:tc>
      </w:tr>
    </w:tbl>
    <w:p>
      <w:pPr>
        <w:spacing w:after="0" w:before="0"/>
      </w:pPr>
      <w:r>
        <w:rPr>
          <w:b w:val="0"/>
          <w:i w:val="0"/>
        </w:rPr>
      </w:r>
    </w:p>
    <w:p>
      <w:r>
        <w:br w:type="page"/>
      </w:r>
    </w:p>
    <w:p>
      <w:pPr>
        <w:spacing w:after="60"/>
      </w:pPr>
      <w:r>
        <w:rPr>
          <w:b/>
          <w:color w:val="666666"/>
          <w:sz w:val="16"/>
        </w:rPr>
        <w:t>05</w:t>
      </w:r>
    </w:p>
    <w:p>
      <w:pPr>
        <w:pStyle w:val="Heading1"/>
        <w:pBdr>
          <w:bottom w:val="single" w:sz="8" w:space="1" w:color="B8C9D9"/>
        </w:pBdr>
      </w:pPr>
      <w:r>
        <w:t>At a Glance</w:t>
      </w:r>
    </w:p>
    <w:tbl>
      <w:tblPr>
        <w:tblW w:type="auto" w:w="0"/>
        <w:jc w:val="center"/>
        <w:tblLook w:firstColumn="1" w:firstRow="1" w:lastColumn="0" w:lastRow="0" w:noHBand="0" w:noVBand="1" w:val="04A0"/>
      </w:tblPr>
      <w:tblGrid>
        <w:gridCol w:w="3456"/>
        <w:gridCol w:w="3456"/>
        <w:gridCol w:w="3456"/>
      </w:tblGrid>
      <w:tr>
        <w:tc>
          <w:tcPr>
            <w:tcW w:type="dxa" w:w="3456"/>
            <w:shd w:fill="F5F7F9"/>
            <w:vAlign w:val="center"/>
            <w:tcMar>
              <w:top w:w="150" w:type="dxa"/>
              <w:start w:w="100" w:type="dxa"/>
              <w:bottom w:w="130" w:type="dxa"/>
              <w:end w:w="100" w:type="dxa"/>
            </w:tcMar>
          </w:tcPr>
          <w:p>
            <w:pPr>
              <w:jc w:val="center"/>
            </w:pPr>
            <w:r>
              <w:rPr>
                <w:b/>
                <w:color w:val="1F4E79"/>
                <w:sz w:val="38"/>
              </w:rPr>
              <w:t>20+</w:t>
              <w:br/>
            </w:r>
            <w:r>
              <w:rPr>
                <w:b/>
                <w:color w:val="666666"/>
                <w:sz w:val="15"/>
              </w:rPr>
              <w:t>YEARS OF LEADERSHIP</w:t>
            </w:r>
          </w:p>
        </w:tc>
        <w:tc>
          <w:tcPr>
            <w:tcW w:type="dxa" w:w="3456"/>
            <w:shd w:fill="F5F7F9"/>
            <w:vAlign w:val="center"/>
            <w:tcMar>
              <w:top w:w="150" w:type="dxa"/>
              <w:start w:w="100" w:type="dxa"/>
              <w:bottom w:w="130" w:type="dxa"/>
              <w:end w:w="100" w:type="dxa"/>
            </w:tcMar>
          </w:tcPr>
          <w:p>
            <w:pPr>
              <w:jc w:val="center"/>
            </w:pPr>
            <w:r>
              <w:rPr>
                <w:b/>
                <w:color w:val="1F4E79"/>
                <w:sz w:val="38"/>
              </w:rPr>
              <w:t>$18M</w:t>
              <w:br/>
            </w:r>
            <w:r>
              <w:rPr>
                <w:b/>
                <w:color w:val="666666"/>
                <w:sz w:val="15"/>
              </w:rPr>
              <w:t>LARGEST BUSINESS UNIT</w:t>
            </w:r>
          </w:p>
        </w:tc>
        <w:tc>
          <w:tcPr>
            <w:tcW w:type="dxa" w:w="3456"/>
            <w:shd w:fill="F5F7F9"/>
            <w:vAlign w:val="center"/>
            <w:tcMar>
              <w:top w:w="150" w:type="dxa"/>
              <w:start w:w="100" w:type="dxa"/>
              <w:bottom w:w="130" w:type="dxa"/>
              <w:end w:w="100" w:type="dxa"/>
            </w:tcMar>
          </w:tcPr>
          <w:p>
            <w:pPr>
              <w:jc w:val="center"/>
            </w:pPr>
            <w:r>
              <w:rPr>
                <w:b/>
                <w:color w:val="1F4E79"/>
                <w:sz w:val="38"/>
              </w:rPr>
              <w:t>$40M</w:t>
              <w:br/>
            </w:r>
            <w:r>
              <w:rPr>
                <w:b/>
                <w:color w:val="666666"/>
                <w:sz w:val="15"/>
              </w:rPr>
              <w:t>COMMERCIAL PORTFOLIO</w:t>
            </w:r>
          </w:p>
        </w:tc>
      </w:tr>
      <w:tr>
        <w:tc>
          <w:tcPr>
            <w:tcW w:type="dxa" w:w="3456"/>
            <w:shd w:fill="F5F7F9"/>
            <w:vAlign w:val="center"/>
            <w:tcMar>
              <w:top w:w="150" w:type="dxa"/>
              <w:start w:w="100" w:type="dxa"/>
              <w:bottom w:w="130" w:type="dxa"/>
              <w:end w:w="100" w:type="dxa"/>
            </w:tcMar>
          </w:tcPr>
          <w:p>
            <w:pPr>
              <w:jc w:val="center"/>
            </w:pPr>
            <w:r>
              <w:rPr>
                <w:b/>
                <w:color w:val="1F4E79"/>
                <w:sz w:val="38"/>
              </w:rPr>
              <w:t>90+</w:t>
              <w:br/>
            </w:r>
            <w:r>
              <w:rPr>
                <w:b/>
                <w:color w:val="666666"/>
                <w:sz w:val="15"/>
              </w:rPr>
              <w:t>EMPLOYEES LED</w:t>
            </w:r>
          </w:p>
        </w:tc>
        <w:tc>
          <w:tcPr>
            <w:tcW w:type="dxa" w:w="3456"/>
            <w:shd w:fill="F5F7F9"/>
            <w:vAlign w:val="center"/>
            <w:tcMar>
              <w:top w:w="150" w:type="dxa"/>
              <w:start w:w="100" w:type="dxa"/>
              <w:bottom w:w="130" w:type="dxa"/>
              <w:end w:w="100" w:type="dxa"/>
            </w:tcMar>
          </w:tcPr>
          <w:p>
            <w:pPr>
              <w:jc w:val="center"/>
            </w:pPr>
            <w:r>
              <w:rPr>
                <w:b/>
                <w:color w:val="1F4E79"/>
                <w:sz w:val="38"/>
              </w:rPr>
              <w:t>8</w:t>
              <w:br/>
            </w:r>
            <w:r>
              <w:rPr>
                <w:b/>
                <w:color w:val="666666"/>
                <w:sz w:val="15"/>
              </w:rPr>
              <w:t>MULTI-SITE LOCATIONS</w:t>
            </w:r>
          </w:p>
        </w:tc>
        <w:tc>
          <w:tcPr>
            <w:tcW w:type="dxa" w:w="3456"/>
            <w:shd w:fill="F5F7F9"/>
            <w:vAlign w:val="center"/>
            <w:tcMar>
              <w:top w:w="150" w:type="dxa"/>
              <w:start w:w="100" w:type="dxa"/>
              <w:bottom w:w="130" w:type="dxa"/>
              <w:end w:w="100" w:type="dxa"/>
            </w:tcMar>
          </w:tcPr>
          <w:p>
            <w:pPr>
              <w:jc w:val="center"/>
            </w:pPr>
            <w:r>
              <w:rPr>
                <w:b/>
                <w:color w:val="1F4E79"/>
                <w:sz w:val="38"/>
              </w:rPr>
              <w:t>17%</w:t>
              <w:br/>
            </w:r>
            <w:r>
              <w:rPr>
                <w:b/>
                <w:color w:val="666666"/>
                <w:sz w:val="15"/>
              </w:rPr>
              <w:t>REGIONAL GROWTH</w:t>
            </w:r>
          </w:p>
        </w:tc>
      </w:tr>
    </w:tbl>
    <w:p>
      <w:pPr>
        <w:spacing w:after="140" w:before="0"/>
      </w:pPr>
      <w:r>
        <w:rPr>
          <w:b w:val="0"/>
          <w:i w:val="0"/>
        </w:rPr>
      </w:r>
    </w:p>
    <w:tbl>
      <w:tblPr>
        <w:tblW w:type="auto" w:w="0"/>
        <w:jc w:val="center"/>
        <w:tblLayout w:type="fixed"/>
        <w:tblLook w:firstColumn="1" w:firstRow="1" w:lastColumn="0" w:lastRow="0" w:noHBand="0" w:noVBand="1" w:val="04A0"/>
      </w:tblPr>
      <w:tblGrid>
        <w:gridCol w:w="5040"/>
        <w:gridCol w:w="5040"/>
      </w:tblGrid>
      <w:tr>
        <w:tc>
          <w:tcPr>
            <w:tcW w:type="dxa" w:w="5184"/>
            <w:tcMar>
              <w:top w:w="130" w:type="dxa"/>
              <w:start w:w="160" w:type="dxa"/>
              <w:bottom w:w="130" w:type="dxa"/>
              <w:end w:w="160" w:type="dxa"/>
            </w:tcMar>
            <w:shd w:fill="EAF0F5"/>
          </w:tcPr>
          <w:p>
            <w:r>
              <w:rPr>
                <w:b/>
                <w:color w:val="1F4E79"/>
                <w:sz w:val="18"/>
              </w:rPr>
              <w:t>BUSINESS SCOPE</w:t>
            </w:r>
          </w:p>
          <w:p>
            <w:pPr>
              <w:pStyle w:val="ListBullet"/>
              <w:spacing w:after="20"/>
            </w:pPr>
            <w:r>
              <w:t>P&amp;L and budget responsibility</w:t>
            </w:r>
          </w:p>
          <w:p>
            <w:pPr>
              <w:pStyle w:val="ListBullet"/>
              <w:spacing w:after="20"/>
            </w:pPr>
            <w:r>
              <w:t>Multi-site operations</w:t>
            </w:r>
          </w:p>
          <w:p>
            <w:pPr>
              <w:pStyle w:val="ListBullet"/>
              <w:spacing w:after="20"/>
            </w:pPr>
            <w:r>
              <w:t>Regional and cross-border leadership</w:t>
            </w:r>
          </w:p>
          <w:p>
            <w:pPr>
              <w:pStyle w:val="ListBullet"/>
              <w:spacing w:after="20"/>
            </w:pPr>
            <w:r>
              <w:t>Direct, manufacturer-rep, and distributor channels</w:t>
            </w:r>
          </w:p>
          <w:p>
            <w:pPr>
              <w:pStyle w:val="ListBullet"/>
              <w:spacing w:after="20"/>
            </w:pPr>
            <w:r>
              <w:t>Ownership and executive partnership</w:t>
            </w:r>
          </w:p>
        </w:tc>
        <w:tc>
          <w:tcPr>
            <w:tcW w:type="dxa" w:w="5184"/>
            <w:tcMar>
              <w:top w:w="130" w:type="dxa"/>
              <w:start w:w="160" w:type="dxa"/>
              <w:bottom w:w="130" w:type="dxa"/>
              <w:end w:w="160" w:type="dxa"/>
            </w:tcMar>
            <w:shd w:fill="F5F7F9"/>
          </w:tcPr>
          <w:p>
            <w:r>
              <w:rPr>
                <w:b/>
                <w:color w:val="1F4E79"/>
                <w:sz w:val="18"/>
              </w:rPr>
              <w:t>CORE CAPABILITIES</w:t>
            </w:r>
          </w:p>
          <w:p>
            <w:pPr>
              <w:pStyle w:val="ListBullet"/>
              <w:spacing w:after="20"/>
            </w:pPr>
            <w:r>
              <w:t>Executive leadership</w:t>
            </w:r>
          </w:p>
          <w:p>
            <w:pPr>
              <w:pStyle w:val="ListBullet"/>
              <w:spacing w:after="20"/>
            </w:pPr>
            <w:r>
              <w:t>Commercial strategy and revenue growth</w:t>
            </w:r>
          </w:p>
          <w:p>
            <w:pPr>
              <w:pStyle w:val="ListBullet"/>
              <w:spacing w:after="20"/>
            </w:pPr>
            <w:r>
              <w:t>Forecasting and decision support</w:t>
            </w:r>
          </w:p>
          <w:p>
            <w:pPr>
              <w:pStyle w:val="ListBullet"/>
              <w:spacing w:after="20"/>
            </w:pPr>
            <w:r>
              <w:t>Organizational and leadership development</w:t>
            </w:r>
          </w:p>
          <w:p>
            <w:pPr>
              <w:pStyle w:val="ListBullet"/>
              <w:spacing w:after="20"/>
            </w:pPr>
            <w:r>
              <w:t>Operational execution and accountability</w:t>
            </w:r>
          </w:p>
          <w:p>
            <w:pPr>
              <w:pStyle w:val="ListBullet"/>
              <w:spacing w:after="20"/>
            </w:pPr>
            <w:r>
              <w:t>Recruiting and talent development</w:t>
            </w:r>
          </w:p>
        </w:tc>
      </w:tr>
    </w:tbl>
    <w:p>
      <w:r>
        <w:t>Regional Scope</w:t>
        <w:br/>
        <w:t>United States &amp; Canada</w:t>
        <w:br/>
        <w:t>8 States</w:t>
      </w:r>
    </w:p>
    <w:p>
      <w:pPr>
        <w:spacing w:after="100" w:before="200"/>
        <w:jc w:val="center"/>
      </w:pPr>
      <w:r>
        <w:rPr>
          <w:b w:val="0"/>
          <w:i w:val="0"/>
          <w:color w:val="666666"/>
          <w:sz w:val="18"/>
        </w:rPr>
        <w:t>Industry experience: manufacturing, industrial distribution, telecommunications, technology, building materials, and multi-site consumer services.</w:t>
      </w:r>
    </w:p>
    <w:p>
      <w:r>
        <w:br w:type="page"/>
      </w:r>
    </w:p>
    <w:p>
      <w:pPr>
        <w:spacing w:before="1200"/>
        <w:jc w:val="center"/>
      </w:pPr>
      <w:r>
        <w:rPr>
          <w:b/>
          <w:color w:val="1F4E79"/>
          <w:sz w:val="18"/>
        </w:rPr>
        <w:t>LOOKING AHEAD</w:t>
      </w:r>
    </w:p>
    <w:p>
      <w:pPr>
        <w:spacing w:before="440"/>
        <w:jc w:val="center"/>
      </w:pPr>
      <w:r>
        <w:rPr>
          <w:b/>
          <w:color w:val="17365D"/>
          <w:sz w:val="38"/>
        </w:rPr>
        <w:t>The next chapter of my career is not about leading a larger sales organization.</w:t>
      </w:r>
    </w:p>
    <w:p>
      <w:pPr>
        <w:jc w:val="center"/>
      </w:pPr>
      <w:r>
        <w:rPr>
          <w:b/>
          <w:color w:val="1F4E79"/>
          <w:sz w:val="38"/>
        </w:rPr>
        <w:t>It is about helping lead a stronger business.</w:t>
      </w:r>
    </w:p>
    <w:p>
      <w:pPr>
        <w:spacing w:after="300" w:before="600"/>
        <w:jc w:val="center"/>
      </w:pPr>
      <w:r>
        <w:rPr>
          <w:b w:val="0"/>
          <w:i w:val="0"/>
          <w:sz w:val="23"/>
        </w:rPr>
        <w:t>I have spent my career learning how leadership, commercial judgment, operations, and execution work together. Different industries gave me different perspectives, but the work remained remarkably similar: develop capable people, make better decisions, and build organizations that can sustain growth.</w:t>
      </w:r>
    </w:p>
    <w:p>
      <w:pPr>
        <w:spacing w:after="900" w:before="0"/>
        <w:jc w:val="center"/>
      </w:pPr>
      <w:r>
        <w:rPr>
          <w:b/>
          <w:i w:val="0"/>
          <w:color w:val="17365D"/>
          <w:sz w:val="26"/>
        </w:rPr>
        <w:t>That is the work I am looking forward to continuing.</w:t>
      </w:r>
    </w:p>
    <w:p>
      <w:pPr>
        <w:spacing w:after="80" w:before="0"/>
        <w:jc w:val="center"/>
      </w:pPr>
      <w:r>
        <w:rPr>
          <w:b/>
          <w:i w:val="0"/>
          <w:color w:val="17365D"/>
          <w:sz w:val="36"/>
        </w:rPr>
        <w:t>BRUCE FRANSE</w:t>
      </w:r>
    </w:p>
    <w:p>
      <w:pPr>
        <w:spacing w:after="40" w:before="0"/>
        <w:jc w:val="center"/>
      </w:pPr>
      <w:r>
        <w:rPr>
          <w:b w:val="0"/>
          <w:i w:val="0"/>
          <w:color w:val="666666"/>
          <w:sz w:val="18"/>
        </w:rPr>
        <w:t>Sacramento, California  |  916-289-1837  |  Franse.Bruce@gmail.com</w:t>
      </w:r>
    </w:p>
    <w:p>
      <w:pPr>
        <w:spacing w:after="100" w:before="0"/>
        <w:jc w:val="center"/>
      </w:pPr>
      <w:r>
        <w:rPr>
          <w:b w:val="0"/>
          <w:i w:val="0"/>
          <w:color w:val="1F4E79"/>
          <w:sz w:val="18"/>
        </w:rPr>
        <w:t>linkedin.com/in/brucefranse</w:t>
      </w:r>
    </w:p>
    <w:p>
      <w:r>
        <w:br w:type="page"/>
      </w:r>
    </w:p>
    <w:p>
      <w:pPr>
        <w:pStyle w:val="Heading1"/>
      </w:pPr>
      <w:r>
        <w:t>Version 4.0 Design Notes Applied</w:t>
      </w:r>
    </w:p>
    <w:p>
      <w:r>
        <w:t>Design direction for production:</w:t>
        <w:br/>
        <w:t>• Cover subtitle updated to 'Building Stronger Organizations'.</w:t>
        <w:br/>
        <w:t>• Page 7: redesign with three matching panels (Business Scope, What I Build, Operating Experience).</w:t>
        <w:br/>
        <w:t>• Increase whitespace on Pages 3, 5 and 6.</w:t>
        <w:br/>
        <w:t>• Reduce visual weight of Context/Focus/Outcome labels.</w:t>
        <w:br/>
        <w:t>• Tighten typography hierarchy and spacing.</w:t>
        <w:br/>
        <w:t>• Rewrite Page 8 ending with 'The industries changed. The work didn't.'</w:t>
      </w:r>
    </w:p>
    <w:sectPr w:rsidR="00FC693F" w:rsidRPr="0006063C" w:rsidSect="00034616">
      <w:footerReference w:type="default" r:id="rId9"/>
      <w:pgSz w:w="12240" w:h="15840"/>
      <w:pgMar w:top="792" w:right="936" w:bottom="792" w:left="936" w:header="36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666666"/>
        <w:sz w:val="15"/>
      </w:rPr>
      <w:t>BRUCE FRANSE  |  EXECUTIVE PORTFOLIO</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Aptos" w:hAnsi="Aptos"/>
      <w:color w:val="2B2B2B"/>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40"/>
      <w:outlineLvl w:val="0"/>
    </w:pPr>
    <w:rPr>
      <w:rFonts w:asciiTheme="majorHAnsi" w:eastAsiaTheme="majorEastAsia" w:hAnsiTheme="majorHAnsi" w:cstheme="majorBidi" w:ascii="Aptos Display" w:hAnsi="Aptos Display"/>
      <w:b/>
      <w:bCs/>
      <w:color w:val="1F4E79"/>
      <w:sz w:val="38"/>
      <w:szCs w:val="28"/>
    </w:rPr>
  </w:style>
  <w:style w:type="paragraph" w:styleId="Heading2">
    <w:name w:val="heading 2"/>
    <w:basedOn w:val="Normal"/>
    <w:next w:val="Normal"/>
    <w:link w:val="Heading2Char"/>
    <w:uiPriority w:val="9"/>
    <w:unhideWhenUsed/>
    <w:qFormat/>
    <w:rsid w:val="00FC693F"/>
    <w:pPr>
      <w:keepNext/>
      <w:keepLines/>
      <w:spacing w:before="0" w:after="140"/>
      <w:outlineLvl w:val="1"/>
    </w:pPr>
    <w:rPr>
      <w:rFonts w:asciiTheme="majorHAnsi" w:eastAsiaTheme="majorEastAsia" w:hAnsiTheme="majorHAnsi" w:cstheme="majorBidi" w:ascii="Aptos" w:hAnsi="Aptos"/>
      <w:b/>
      <w:bCs/>
      <w:color w:val="17365D"/>
      <w:sz w:val="26"/>
      <w:szCs w:val="26"/>
    </w:rPr>
  </w:style>
  <w:style w:type="paragraph" w:styleId="Heading3">
    <w:name w:val="heading 3"/>
    <w:basedOn w:val="Normal"/>
    <w:next w:val="Normal"/>
    <w:link w:val="Heading3Char"/>
    <w:uiPriority w:val="9"/>
    <w:unhideWhenUsed/>
    <w:qFormat/>
    <w:rsid w:val="00FC693F"/>
    <w:pPr>
      <w:keepNext/>
      <w:keepLines/>
      <w:spacing w:before="0" w:after="140"/>
      <w:outlineLvl w:val="2"/>
    </w:pPr>
    <w:rPr>
      <w:rFonts w:asciiTheme="majorHAnsi" w:eastAsiaTheme="majorEastAsia" w:hAnsiTheme="majorHAnsi" w:cstheme="majorBidi" w:ascii="Aptos" w:hAnsi="Aptos"/>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40" w:line="240" w:lineRule="auto" w:before="0"/>
      <w:contextualSpacing/>
    </w:pPr>
    <w:rPr>
      <w:rFonts w:asciiTheme="majorHAnsi" w:eastAsiaTheme="majorEastAsia" w:hAnsiTheme="majorHAnsi" w:cstheme="majorBidi" w:ascii="Aptos Display" w:hAnsi="Aptos Display"/>
      <w:b/>
      <w:color w:val="17365D"/>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Bruce Franse Executive Portfolio v3.2</dc:title>
  <dc:subject>Executive leadership portfolio</dc:subject>
  <dc:creator>Bruce Franse</dc:creator>
  <cp:keywords>Executive leadership, commercial strategy, business operations</cp:keywords>
  <dc:description>generated by python-docx</dc:description>
  <cp:lastModifiedBy/>
  <cp:revision>1</cp:revision>
  <dcterms:created xsi:type="dcterms:W3CDTF">2013-12-23T23:15:00Z</dcterms:created>
  <dcterms:modified xsi:type="dcterms:W3CDTF">2013-12-23T23:15:00Z</dcterms:modified>
  <cp:category/>
</cp:coreProperties>
</file>